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A18" w:rsidRDefault="00CE7AE7" w:rsidP="00CE7AE7">
      <w:pPr>
        <w:shd w:val="clear" w:color="auto" w:fill="FFFFFF"/>
        <w:spacing w:after="0" w:line="360" w:lineRule="atLeast"/>
        <w:outlineLvl w:val="0"/>
        <w:rPr>
          <w:rFonts w:ascii="Arial" w:eastAsia="Times New Roman" w:hAnsi="Arial" w:cs="Arial"/>
          <w:b/>
          <w:bCs/>
          <w:kern w:val="36"/>
          <w:sz w:val="24"/>
          <w:szCs w:val="24"/>
          <w:lang w:eastAsia="fr-FR"/>
        </w:rPr>
      </w:pPr>
      <w:r w:rsidRPr="00CE7AE7">
        <w:rPr>
          <w:rFonts w:ascii="Arial" w:eastAsia="Times New Roman" w:hAnsi="Arial" w:cs="Arial"/>
          <w:b/>
          <w:bCs/>
          <w:kern w:val="36"/>
          <w:sz w:val="24"/>
          <w:szCs w:val="24"/>
          <w:lang w:eastAsia="fr-FR"/>
        </w:rPr>
        <w:t>Reconnaître les gestes symboliques</w:t>
      </w:r>
    </w:p>
    <w:p w:rsidR="00F54A18" w:rsidRDefault="00CE7AE7" w:rsidP="00CE7AE7">
      <w:pPr>
        <w:shd w:val="clear" w:color="auto" w:fill="FFFFFF"/>
        <w:spacing w:after="0" w:line="360" w:lineRule="atLeast"/>
        <w:outlineLvl w:val="0"/>
        <w:rPr>
          <w:rFonts w:ascii="Arial" w:eastAsia="Times New Roman" w:hAnsi="Arial" w:cs="Arial"/>
          <w:b/>
          <w:bCs/>
          <w:kern w:val="36"/>
          <w:sz w:val="24"/>
          <w:szCs w:val="24"/>
          <w:lang w:eastAsia="fr-FR"/>
        </w:rPr>
      </w:pPr>
      <w:r>
        <w:rPr>
          <w:rFonts w:ascii="Arial" w:eastAsia="Times New Roman" w:hAnsi="Arial" w:cs="Arial"/>
          <w:b/>
          <w:bCs/>
          <w:kern w:val="36"/>
          <w:sz w:val="24"/>
          <w:szCs w:val="24"/>
          <w:lang w:eastAsia="fr-FR"/>
        </w:rPr>
        <w:t xml:space="preserve"> Article site internet</w:t>
      </w:r>
      <w:r w:rsidR="00F54A18">
        <w:rPr>
          <w:rFonts w:ascii="Arial" w:eastAsia="Times New Roman" w:hAnsi="Arial" w:cs="Arial"/>
          <w:b/>
          <w:bCs/>
          <w:kern w:val="36"/>
          <w:sz w:val="24"/>
          <w:szCs w:val="24"/>
          <w:lang w:eastAsia="fr-FR"/>
        </w:rPr>
        <w:t> :</w:t>
      </w:r>
    </w:p>
    <w:p w:rsidR="00CE7AE7" w:rsidRDefault="00CE7AE7" w:rsidP="00CE7AE7">
      <w:pPr>
        <w:shd w:val="clear" w:color="auto" w:fill="FFFFFF"/>
        <w:spacing w:after="0" w:line="360" w:lineRule="atLeast"/>
        <w:outlineLvl w:val="0"/>
        <w:rPr>
          <w:rFonts w:ascii="Arial" w:eastAsia="Times New Roman" w:hAnsi="Arial" w:cs="Arial"/>
          <w:b/>
          <w:bCs/>
          <w:kern w:val="36"/>
          <w:sz w:val="24"/>
          <w:szCs w:val="24"/>
          <w:lang w:eastAsia="fr-FR"/>
        </w:rPr>
      </w:pPr>
      <w:r>
        <w:rPr>
          <w:rFonts w:ascii="Arial" w:eastAsia="Times New Roman" w:hAnsi="Arial" w:cs="Arial"/>
          <w:b/>
          <w:bCs/>
          <w:kern w:val="36"/>
          <w:sz w:val="24"/>
          <w:szCs w:val="24"/>
          <w:lang w:eastAsia="fr-FR"/>
        </w:rPr>
        <w:t xml:space="preserve"> </w:t>
      </w:r>
      <w:hyperlink r:id="rId6" w:history="1">
        <w:r w:rsidRPr="00045002">
          <w:rPr>
            <w:rStyle w:val="Lienhypertexte"/>
            <w:rFonts w:ascii="Arial" w:eastAsia="Times New Roman" w:hAnsi="Arial" w:cs="Arial"/>
            <w:b/>
            <w:bCs/>
            <w:kern w:val="36"/>
            <w:sz w:val="24"/>
            <w:szCs w:val="24"/>
            <w:lang w:eastAsia="fr-FR"/>
          </w:rPr>
          <w:t>http://www.bouddhisme-universite.org/reconnaitre-les-mudra</w:t>
        </w:r>
      </w:hyperlink>
    </w:p>
    <w:p w:rsidR="00CE7AE7" w:rsidRPr="00CE7AE7" w:rsidRDefault="00CE7AE7" w:rsidP="00CE7AE7">
      <w:pPr>
        <w:shd w:val="clear" w:color="auto" w:fill="FFFFFF"/>
        <w:spacing w:after="0" w:line="360" w:lineRule="atLeast"/>
        <w:outlineLvl w:val="0"/>
        <w:rPr>
          <w:rFonts w:ascii="Arial" w:eastAsia="Times New Roman" w:hAnsi="Arial" w:cs="Arial"/>
          <w:b/>
          <w:bCs/>
          <w:kern w:val="36"/>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38EAB932" wp14:editId="1FCF825E">
            <wp:extent cx="952500" cy="933450"/>
            <wp:effectExtent l="0" t="0" r="0" b="0"/>
            <wp:docPr id="1" name="Image 1" descr="Portrait de 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rtrait de IE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before="280" w:after="360" w:line="360" w:lineRule="atLeast"/>
        <w:jc w:val="center"/>
        <w:outlineLvl w:val="1"/>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 xml:space="preserve">Les </w:t>
      </w:r>
      <w:r w:rsidRPr="00CE7AE7">
        <w:rPr>
          <w:rFonts w:ascii="Arial" w:eastAsia="Times New Roman" w:hAnsi="Arial" w:cs="Arial"/>
          <w:b/>
          <w:bCs/>
          <w:i/>
          <w:iCs/>
          <w:color w:val="B00018"/>
          <w:sz w:val="24"/>
          <w:szCs w:val="24"/>
          <w:lang w:eastAsia="fr-FR"/>
        </w:rPr>
        <w:t>mudrā</w:t>
      </w:r>
    </w:p>
    <w:p w:rsidR="00CE7AE7" w:rsidRPr="00CE7AE7" w:rsidRDefault="00CE7AE7" w:rsidP="00CE7AE7">
      <w:pPr>
        <w:shd w:val="clear" w:color="auto" w:fill="FFFFFF"/>
        <w:spacing w:after="0" w:line="360" w:lineRule="atLeast"/>
        <w:jc w:val="center"/>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inline distT="0" distB="0" distL="0" distR="0" wp14:anchorId="76C90365" wp14:editId="18944330">
            <wp:extent cx="4121623" cy="6182436"/>
            <wp:effectExtent l="0" t="0" r="0" b="8890"/>
            <wp:docPr id="2" name="Image 2" descr="mudr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udra-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601" cy="6179403"/>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p>
    <w:p w:rsidR="00CE7AE7" w:rsidRDefault="00CE7AE7" w:rsidP="00CE7AE7">
      <w:pPr>
        <w:shd w:val="clear" w:color="auto" w:fill="FFFFFF"/>
        <w:spacing w:after="0" w:line="360" w:lineRule="atLeast"/>
        <w:rPr>
          <w:rFonts w:ascii="Arial" w:eastAsia="Times New Roman" w:hAnsi="Arial" w:cs="Arial"/>
          <w:color w:val="000000"/>
          <w:sz w:val="24"/>
          <w:szCs w:val="24"/>
          <w:lang w:eastAsia="fr-FR"/>
        </w:rPr>
      </w:pPr>
    </w:p>
    <w:p w:rsidR="00092906" w:rsidRDefault="00092906" w:rsidP="00CE7AE7">
      <w:pPr>
        <w:shd w:val="clear" w:color="auto" w:fill="FFFFFF"/>
        <w:spacing w:after="0" w:line="360" w:lineRule="atLeast"/>
        <w:rPr>
          <w:rFonts w:ascii="Arial" w:eastAsia="Times New Roman" w:hAnsi="Arial" w:cs="Arial"/>
          <w:color w:val="000000"/>
          <w:sz w:val="24"/>
          <w:szCs w:val="24"/>
          <w:lang w:eastAsia="fr-FR"/>
        </w:rPr>
      </w:pPr>
    </w:p>
    <w:p w:rsid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lastRenderedPageBreak/>
        <w:t xml:space="preserve">Lorsqu’on décida de représenter le Bouddha Gautama Śākyamuni sous forme humaine, au début de l’ère chrétienne, on associa des gestes symboliques aux principaux épisodes de sa vie. De cette manière, malgré l’uniformité apparente des représentations, on pouvait clairement identifier l’événement qui était ainsi évoqué. Certaines de ces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sont bien connues, comme la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de « la prise de la terre à témoin » ou celle de la méditation, qui symbolisent les différents épisodes de la nuit de l’Éveil, la mise en mouvement de la « Roue de la Loi », associée au premier enseignement du Bouddha à Sārnāth, ou encore la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de « l’absence de crainte » ainsi que celle du don.</w:t>
      </w:r>
      <w:r w:rsidRPr="00CE7AE7">
        <w:rPr>
          <w:rFonts w:ascii="Arial" w:eastAsia="Times New Roman" w:hAnsi="Arial" w:cs="Arial"/>
          <w:color w:val="000000"/>
          <w:sz w:val="24"/>
          <w:szCs w:val="24"/>
          <w:lang w:eastAsia="fr-FR"/>
        </w:rPr>
        <w:br/>
      </w:r>
    </w:p>
    <w:p w:rsid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Par la suite, de très nombreux autres gestes viendront s’ajouter à l’iconographie bouddhique portant à plus de cinquante ceux que l’on peut observer dans les différentes figures du panthéon, et jusqu’à cent-huit pour les gestes spécifiques aux rituels tantriques : par exemple les gestes de « menace », associés aux divinités « courroucées », ou le « poing de sagesse », caractéristique de certaines formes du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 primordial » Mahāvairocana.</w:t>
      </w:r>
      <w:r w:rsidRPr="00CE7AE7">
        <w:rPr>
          <w:rFonts w:ascii="Arial" w:eastAsia="Times New Roman" w:hAnsi="Arial" w:cs="Arial"/>
          <w:color w:val="000000"/>
          <w:sz w:val="24"/>
          <w:szCs w:val="24"/>
          <w:lang w:eastAsia="fr-FR"/>
        </w:rPr>
        <w:br/>
      </w:r>
    </w:p>
    <w:p w:rsid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De nos jours, les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rituelles, associées aux attitudes, aux sièges, aux couleurs et aux signes corporels, permettent d’identifier les différents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i/>
          <w:iCs/>
          <w:color w:val="000000"/>
          <w:sz w:val="24"/>
          <w:szCs w:val="24"/>
          <w:lang w:eastAsia="fr-FR"/>
        </w:rPr>
        <w:t>bodhisattva</w:t>
      </w:r>
      <w:r w:rsidRPr="00CE7AE7">
        <w:rPr>
          <w:rFonts w:ascii="Arial" w:eastAsia="Times New Roman" w:hAnsi="Arial" w:cs="Arial"/>
          <w:color w:val="000000"/>
          <w:sz w:val="24"/>
          <w:szCs w:val="24"/>
          <w:lang w:eastAsia="fr-FR"/>
        </w:rPr>
        <w:t xml:space="preserve"> et grands personnages du panthéon bouddhique.</w:t>
      </w:r>
      <w:r w:rsidRPr="00CE7AE7">
        <w:rPr>
          <w:rFonts w:ascii="Arial" w:eastAsia="Times New Roman" w:hAnsi="Arial" w:cs="Arial"/>
          <w:color w:val="000000"/>
          <w:sz w:val="24"/>
          <w:szCs w:val="24"/>
          <w:lang w:eastAsia="fr-FR"/>
        </w:rPr>
        <w:br/>
        <w:t>Nous vous proposons d’en découvrir les principales…</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Les gestes de mains appelés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ne sont pas spécifiques du seul bouddhisme : ils appartiennent au fonds culturel indien. Certaines sont déjà décrites dans l’un des plus anciens textes connus sur les arts du spectacle, le </w:t>
      </w:r>
      <w:r w:rsidRPr="00CE7AE7">
        <w:rPr>
          <w:rFonts w:ascii="Arial" w:eastAsia="Times New Roman" w:hAnsi="Arial" w:cs="Arial"/>
          <w:i/>
          <w:iCs/>
          <w:color w:val="000000"/>
          <w:sz w:val="24"/>
          <w:szCs w:val="24"/>
          <w:lang w:eastAsia="fr-FR"/>
        </w:rPr>
        <w:t>Nāṭyaśāstra</w:t>
      </w:r>
      <w:r w:rsidRPr="00CE7AE7">
        <w:rPr>
          <w:rFonts w:ascii="Arial" w:eastAsia="Times New Roman" w:hAnsi="Arial" w:cs="Arial"/>
          <w:color w:val="000000"/>
          <w:sz w:val="24"/>
          <w:szCs w:val="24"/>
          <w:lang w:eastAsia="fr-FR"/>
        </w:rPr>
        <w:t xml:space="preserve">, probablement antérieur au début de notre ère. Ce traité cite vingt-quatre gestes effectués avec une seule main (chap. IX, &amp; 4-7), treize réalisés avec deux mains (chap. IX, &amp; 8-10) et vingt-neuf gestes liés à la danse (chap. IX, &amp; 10-17) ; les gestes spécifiques à l’art du spectacle sont appelés </w:t>
      </w:r>
      <w:r w:rsidRPr="00CE7AE7">
        <w:rPr>
          <w:rFonts w:ascii="Arial" w:eastAsia="Times New Roman" w:hAnsi="Arial" w:cs="Arial"/>
          <w:i/>
          <w:iCs/>
          <w:color w:val="000000"/>
          <w:sz w:val="24"/>
          <w:szCs w:val="24"/>
          <w:lang w:eastAsia="fr-FR"/>
        </w:rPr>
        <w:t>abhinaya</w:t>
      </w:r>
      <w:r w:rsidRPr="00CE7AE7">
        <w:rPr>
          <w:rFonts w:ascii="Arial" w:eastAsia="Times New Roman" w:hAnsi="Arial" w:cs="Arial"/>
          <w:color w:val="000000"/>
          <w:sz w:val="24"/>
          <w:szCs w:val="24"/>
          <w:lang w:eastAsia="fr-FR"/>
        </w:rPr>
        <w:t xml:space="preserve">, alors que le terme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est réservé aux gestes rituels, du bouddhisme ou de l’hindouisme.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On les classe généralement en quatre catégories : (1) les gestes associés aux déités, aux démons et aux grands personnages, hindous et bouddhistes ; (2) ceux liés aux pratiques tantriques – indiennes, chinoises, japonaises et tibétaines ; (3) les gestes de méditation du </w:t>
      </w:r>
      <w:r w:rsidRPr="00CE7AE7">
        <w:rPr>
          <w:rFonts w:ascii="Arial" w:eastAsia="Times New Roman" w:hAnsi="Arial" w:cs="Arial"/>
          <w:i/>
          <w:iCs/>
          <w:color w:val="000000"/>
          <w:sz w:val="24"/>
          <w:szCs w:val="24"/>
          <w:lang w:eastAsia="fr-FR"/>
        </w:rPr>
        <w:t>yoga</w:t>
      </w:r>
      <w:r w:rsidRPr="00CE7AE7">
        <w:rPr>
          <w:rFonts w:ascii="Arial" w:eastAsia="Times New Roman" w:hAnsi="Arial" w:cs="Arial"/>
          <w:color w:val="000000"/>
          <w:sz w:val="24"/>
          <w:szCs w:val="24"/>
          <w:lang w:eastAsia="fr-FR"/>
        </w:rPr>
        <w:t> ; et enfin (4) ceux relevant des arts de la scène.</w:t>
      </w:r>
      <w:r w:rsidRPr="00CE7AE7">
        <w:rPr>
          <w:rFonts w:ascii="Arial" w:eastAsia="Times New Roman" w:hAnsi="Arial" w:cs="Arial"/>
          <w:color w:val="000000"/>
          <w:sz w:val="24"/>
          <w:szCs w:val="24"/>
          <w:lang w:eastAsia="fr-FR"/>
        </w:rPr>
        <w:br/>
        <w:t xml:space="preserve">L’utilisation des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se retrouve dès les plus anciennes représentations de l’iconographie bouddhique du début de l’ère chrétienne, dans les statues réalisées au Gandhāra (sur le territoire actuel de l’Afghanistan et du Pakistan) et à Mathurā (dans l’état actuel de l’Uttar Pradesh, en Inde). Elles seront ensuite « exportées » en Asie centrale et en Extrême-Orient, puis au Tibet, au fur et à mesure de la diffusion du bouddhisme. On a ainsi retrouvé une feuille de croquis détaillant des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datée du IXe siècle, dans la grotte 17 du site chinois de Dunhuang – elle est actuellement conservée au British Museum de Londres. L’usage des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contribuera ainsi à unifier l’iconographie bouddhique dans toute l’Asie.</w:t>
      </w:r>
      <w:r w:rsidRPr="00CE7AE7">
        <w:rPr>
          <w:rFonts w:ascii="Arial" w:eastAsia="Times New Roman" w:hAnsi="Arial" w:cs="Arial"/>
          <w:color w:val="000000"/>
          <w:sz w:val="24"/>
          <w:szCs w:val="24"/>
          <w:lang w:eastAsia="fr-FR"/>
        </w:rPr>
        <w:br/>
      </w:r>
    </w:p>
    <w:p w:rsidR="00CE7AE7" w:rsidRPr="00CE7AE7" w:rsidRDefault="00092906" w:rsidP="00092906">
      <w:pPr>
        <w:shd w:val="clear" w:color="auto" w:fill="FFFFFF"/>
        <w:spacing w:before="200" w:after="280" w:line="360" w:lineRule="atLeast"/>
        <w:jc w:val="right"/>
        <w:outlineLvl w:val="3"/>
        <w:rPr>
          <w:rFonts w:ascii="Arial" w:eastAsia="Times New Roman" w:hAnsi="Arial" w:cs="Arial"/>
          <w:b/>
          <w:bCs/>
          <w:color w:val="000000"/>
          <w:sz w:val="24"/>
          <w:szCs w:val="24"/>
          <w:lang w:eastAsia="fr-FR"/>
        </w:rPr>
      </w:pPr>
      <w:r w:rsidRPr="00CE7AE7">
        <w:rPr>
          <w:rFonts w:ascii="Arial" w:eastAsia="Times New Roman" w:hAnsi="Arial" w:cs="Arial"/>
          <w:noProof/>
          <w:color w:val="000000"/>
          <w:sz w:val="24"/>
          <w:szCs w:val="24"/>
          <w:lang w:eastAsia="fr-FR"/>
        </w:rPr>
        <w:lastRenderedPageBreak/>
        <w:drawing>
          <wp:anchor distT="0" distB="0" distL="114300" distR="114300" simplePos="0" relativeHeight="251658240" behindDoc="0" locked="0" layoutInCell="1" allowOverlap="1" wp14:anchorId="67554A19" wp14:editId="4E088E8D">
            <wp:simplePos x="0" y="0"/>
            <wp:positionH relativeFrom="column">
              <wp:posOffset>-208915</wp:posOffset>
            </wp:positionH>
            <wp:positionV relativeFrom="paragraph">
              <wp:posOffset>511175</wp:posOffset>
            </wp:positionV>
            <wp:extent cx="1173480" cy="2039620"/>
            <wp:effectExtent l="0" t="0" r="7620" b="0"/>
            <wp:wrapSquare wrapText="bothSides"/>
            <wp:docPr id="3" name="Image 3" descr="mud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udra-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AE7" w:rsidRPr="00CE7AE7">
        <w:rPr>
          <w:rFonts w:ascii="Arial" w:eastAsia="Times New Roman" w:hAnsi="Arial" w:cs="Arial"/>
          <w:b/>
          <w:bCs/>
          <w:color w:val="000000"/>
          <w:sz w:val="24"/>
          <w:szCs w:val="24"/>
          <w:lang w:eastAsia="fr-FR"/>
        </w:rPr>
        <w:br/>
      </w:r>
      <w:r w:rsidR="00CE7AE7" w:rsidRPr="00CE7AE7">
        <w:rPr>
          <w:rFonts w:ascii="Arial" w:eastAsia="Times New Roman" w:hAnsi="Arial" w:cs="Arial"/>
          <w:b/>
          <w:bCs/>
          <w:color w:val="B00018"/>
          <w:sz w:val="24"/>
          <w:szCs w:val="24"/>
          <w:lang w:eastAsia="fr-FR"/>
        </w:rPr>
        <w:t>Geste de prise à témoin de la terre</w:t>
      </w:r>
      <w:r w:rsidR="00CE7AE7" w:rsidRPr="00CE7AE7">
        <w:rPr>
          <w:rFonts w:ascii="Arial" w:eastAsia="Times New Roman" w:hAnsi="Arial" w:cs="Arial"/>
          <w:b/>
          <w:bCs/>
          <w:color w:val="B00018"/>
          <w:sz w:val="24"/>
          <w:szCs w:val="24"/>
          <w:lang w:eastAsia="fr-FR"/>
        </w:rPr>
        <w:br/>
      </w:r>
      <w:proofErr w:type="spellStart"/>
      <w:r w:rsidR="00CE7AE7" w:rsidRPr="00CE7AE7">
        <w:rPr>
          <w:rFonts w:ascii="Arial" w:eastAsia="Times New Roman" w:hAnsi="Arial" w:cs="Arial"/>
          <w:b/>
          <w:bCs/>
          <w:i/>
          <w:iCs/>
          <w:color w:val="B00018"/>
          <w:sz w:val="24"/>
          <w:szCs w:val="24"/>
          <w:lang w:eastAsia="fr-FR"/>
        </w:rPr>
        <w:t>bhūmisparśa-mudrā</w:t>
      </w:r>
      <w:proofErr w:type="spellEnd"/>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La main droite est pendante, la paume tournée vers le Bouddha,  les doigts allongés touchent le sol.</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Juste avant son Éveil, Śākyamuni, assis sous l’arbre de la </w:t>
      </w:r>
      <w:r w:rsidRPr="00CE7AE7">
        <w:rPr>
          <w:rFonts w:ascii="Arial" w:eastAsia="Times New Roman" w:hAnsi="Arial" w:cs="Arial"/>
          <w:i/>
          <w:iCs/>
          <w:color w:val="000000"/>
          <w:sz w:val="24"/>
          <w:szCs w:val="24"/>
          <w:lang w:eastAsia="fr-FR"/>
        </w:rPr>
        <w:t>bodhi</w:t>
      </w:r>
      <w:r w:rsidRPr="00CE7AE7">
        <w:rPr>
          <w:rFonts w:ascii="Arial" w:eastAsia="Times New Roman" w:hAnsi="Arial" w:cs="Arial"/>
          <w:color w:val="000000"/>
          <w:sz w:val="24"/>
          <w:szCs w:val="24"/>
          <w:lang w:eastAsia="fr-FR"/>
        </w:rPr>
        <w:t xml:space="preserve">, subit les assauts du« régent » du </w:t>
      </w:r>
      <w:r w:rsidRPr="00CE7AE7">
        <w:rPr>
          <w:rFonts w:ascii="Arial" w:eastAsia="Times New Roman" w:hAnsi="Arial" w:cs="Arial"/>
          <w:i/>
          <w:iCs/>
          <w:color w:val="000000"/>
          <w:sz w:val="24"/>
          <w:szCs w:val="24"/>
          <w:lang w:eastAsia="fr-FR"/>
        </w:rPr>
        <w:t>saṃsāra</w:t>
      </w:r>
      <w:r w:rsidRPr="00CE7AE7">
        <w:rPr>
          <w:rFonts w:ascii="Arial" w:eastAsia="Times New Roman" w:hAnsi="Arial" w:cs="Arial"/>
          <w:color w:val="000000"/>
          <w:sz w:val="24"/>
          <w:szCs w:val="24"/>
          <w:lang w:eastAsia="fr-FR"/>
        </w:rPr>
        <w:t>, Māra (aussi appelé Pāpīyān, le « mauvais »). Craignant de perdre son ascendant sur les êtres dominés par les passions, il envoie d’abord ses armées, dont les flèches se transforment en fleurs dès que le futur Buddha les regarde ! Dépité, Māra déclare alors avec orgueil qu’il doit sa position insigne aux très nombreux mérites qu’il a accumulés au cours de ses vies antérieures et dénie au futur Buddha d’en avoir autant que lui…</w:t>
      </w:r>
      <w:r w:rsidRPr="00CE7AE7">
        <w:rPr>
          <w:rFonts w:ascii="Arial" w:eastAsia="Times New Roman" w:hAnsi="Arial" w:cs="Arial"/>
          <w:color w:val="000000"/>
          <w:sz w:val="24"/>
          <w:szCs w:val="24"/>
          <w:lang w:eastAsia="fr-FR"/>
        </w:rPr>
        <w:br/>
        <w:t xml:space="preserve">Le maître touche alors la terre pour prouver sa détermination inébranlable à rester sur les lieux et pour prendre à témoin la déesse-terre Sthāvarā (ou Prithvī). Celle-ci apparaît, lui rend hommage et, tordant sa chevelure, en extrait toute l’eau accumulée au fil des ères cosmiques, chaque fois qu’une libation a été effectuée lors d’un don du </w:t>
      </w:r>
      <w:r w:rsidRPr="00CE7AE7">
        <w:rPr>
          <w:rFonts w:ascii="Arial" w:eastAsia="Times New Roman" w:hAnsi="Arial" w:cs="Arial"/>
          <w:i/>
          <w:iCs/>
          <w:color w:val="000000"/>
          <w:sz w:val="24"/>
          <w:szCs w:val="24"/>
          <w:lang w:eastAsia="fr-FR"/>
        </w:rPr>
        <w:t>bodhisattva</w:t>
      </w:r>
      <w:r w:rsidRPr="00CE7AE7">
        <w:rPr>
          <w:rFonts w:ascii="Arial" w:eastAsia="Times New Roman" w:hAnsi="Arial" w:cs="Arial"/>
          <w:color w:val="000000"/>
          <w:sz w:val="24"/>
          <w:szCs w:val="24"/>
          <w:lang w:eastAsia="fr-FR"/>
        </w:rPr>
        <w:t>. Cette eau est si abondante qu’elle emporte les armées de Māra !</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passé Vipāśyin effectue le geste de toucher la terre avec les deux mains.</w:t>
      </w:r>
    </w:p>
    <w:p w:rsidR="00CE7AE7" w:rsidRPr="00CE7AE7" w:rsidRDefault="00CE7AE7" w:rsidP="00092906">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1949881C" wp14:editId="34F7579D">
            <wp:extent cx="2238233" cy="2708262"/>
            <wp:effectExtent l="0" t="0" r="0" b="0"/>
            <wp:docPr id="4" name="Image 4" descr="mud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udra-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249" cy="2713121"/>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color w:val="000000"/>
          <w:sz w:val="24"/>
          <w:szCs w:val="24"/>
          <w:lang w:eastAsia="fr-FR"/>
        </w:rPr>
        <w:t>Bouddha Śākyamuni, cuivre doré peint, XVII ou XVIIIe siècle</w:t>
      </w:r>
      <w:r w:rsidRPr="00CE7AE7">
        <w:rPr>
          <w:rFonts w:ascii="Arial" w:eastAsia="Times New Roman" w:hAnsi="Arial" w:cs="Arial"/>
          <w:b/>
          <w:bCs/>
          <w:color w:val="000000"/>
          <w:sz w:val="24"/>
          <w:szCs w:val="24"/>
          <w:lang w:eastAsia="fr-FR"/>
        </w:rPr>
        <w:br/>
        <w:t>musée de Patan, Népal, objet 357 - photo Guy Bellocq</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Si les principaux gestes sont, à l’origine, attribués à Śākyamuni, les autres grandes figures du bouddhisme adopteront aussi certains de ces gestes ; tel est le cas du </w:t>
      </w:r>
      <w:r w:rsidRPr="00CE7AE7">
        <w:rPr>
          <w:rFonts w:ascii="Arial" w:eastAsia="Times New Roman" w:hAnsi="Arial" w:cs="Arial"/>
          <w:i/>
          <w:iCs/>
          <w:color w:val="000000"/>
          <w:sz w:val="24"/>
          <w:szCs w:val="24"/>
          <w:lang w:eastAsia="fr-FR"/>
        </w:rPr>
        <w:t>jina</w:t>
      </w:r>
      <w:r w:rsidRPr="00CE7AE7">
        <w:rPr>
          <w:rFonts w:ascii="Arial" w:eastAsia="Times New Roman" w:hAnsi="Arial" w:cs="Arial"/>
          <w:color w:val="000000"/>
          <w:sz w:val="24"/>
          <w:szCs w:val="24"/>
          <w:lang w:eastAsia="fr-FR"/>
        </w:rPr>
        <w:t xml:space="preserve"> de l’est, Akṣobya, identifié, outre le geste de prise à témoin de la terre, par le </w:t>
      </w:r>
      <w:r w:rsidRPr="00CE7AE7">
        <w:rPr>
          <w:rFonts w:ascii="Arial" w:eastAsia="Times New Roman" w:hAnsi="Arial" w:cs="Arial"/>
          <w:i/>
          <w:iCs/>
          <w:color w:val="000000"/>
          <w:sz w:val="24"/>
          <w:szCs w:val="24"/>
          <w:lang w:eastAsia="fr-FR"/>
        </w:rPr>
        <w:t>vajra</w:t>
      </w:r>
      <w:r w:rsidRPr="00CE7AE7">
        <w:rPr>
          <w:rFonts w:ascii="Arial" w:eastAsia="Times New Roman" w:hAnsi="Arial" w:cs="Arial"/>
          <w:color w:val="000000"/>
          <w:sz w:val="24"/>
          <w:szCs w:val="24"/>
          <w:lang w:eastAsia="fr-FR"/>
        </w:rPr>
        <w:t xml:space="preserve"> posé sur le socle de la statue.</w:t>
      </w:r>
    </w:p>
    <w:p w:rsidR="00CE7AE7" w:rsidRDefault="00CE7AE7" w:rsidP="00092906">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0FE8F9C8" wp14:editId="77C315AA">
            <wp:extent cx="2861388" cy="4490720"/>
            <wp:effectExtent l="0" t="0" r="0" b="5080"/>
            <wp:docPr id="5" name="Image 5" descr="mud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udra-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484618"/>
                    </a:xfrm>
                    <a:prstGeom prst="rect">
                      <a:avLst/>
                    </a:prstGeom>
                    <a:noFill/>
                    <a:ln>
                      <a:noFill/>
                    </a:ln>
                  </pic:spPr>
                </pic:pic>
              </a:graphicData>
            </a:graphic>
          </wp:inline>
        </w:drawing>
      </w:r>
    </w:p>
    <w:p w:rsidR="00092906" w:rsidRDefault="00092906" w:rsidP="00CE7AE7">
      <w:pPr>
        <w:shd w:val="clear" w:color="auto" w:fill="FFFFFF"/>
        <w:spacing w:after="75" w:line="360" w:lineRule="atLeast"/>
        <w:rPr>
          <w:rFonts w:ascii="Arial" w:eastAsia="Times New Roman" w:hAnsi="Arial" w:cs="Arial"/>
          <w:sz w:val="24"/>
          <w:szCs w:val="24"/>
          <w:lang w:eastAsia="fr-FR"/>
        </w:rPr>
      </w:pPr>
    </w:p>
    <w:p w:rsidR="00092906" w:rsidRDefault="00092906" w:rsidP="00CE7AE7">
      <w:pPr>
        <w:shd w:val="clear" w:color="auto" w:fill="FFFFFF"/>
        <w:spacing w:after="75" w:line="360" w:lineRule="atLeast"/>
        <w:rPr>
          <w:rFonts w:ascii="Arial" w:eastAsia="Times New Roman" w:hAnsi="Arial" w:cs="Arial"/>
          <w:sz w:val="24"/>
          <w:szCs w:val="24"/>
          <w:lang w:eastAsia="fr-FR"/>
        </w:rPr>
      </w:pPr>
    </w:p>
    <w:p w:rsidR="00092906" w:rsidRDefault="00092906" w:rsidP="00CE7AE7">
      <w:pPr>
        <w:shd w:val="clear" w:color="auto" w:fill="FFFFFF"/>
        <w:spacing w:after="75" w:line="360" w:lineRule="atLeast"/>
        <w:rPr>
          <w:rFonts w:ascii="Arial" w:eastAsia="Times New Roman" w:hAnsi="Arial" w:cs="Arial"/>
          <w:sz w:val="24"/>
          <w:szCs w:val="24"/>
          <w:lang w:eastAsia="fr-FR"/>
        </w:rPr>
      </w:pPr>
    </w:p>
    <w:p w:rsidR="00092906" w:rsidRDefault="00092906" w:rsidP="00CE7AE7">
      <w:pPr>
        <w:shd w:val="clear" w:color="auto" w:fill="FFFFFF"/>
        <w:spacing w:after="75" w:line="360" w:lineRule="atLeast"/>
        <w:rPr>
          <w:rFonts w:ascii="Arial" w:eastAsia="Times New Roman" w:hAnsi="Arial" w:cs="Arial"/>
          <w:sz w:val="24"/>
          <w:szCs w:val="24"/>
          <w:lang w:eastAsia="fr-FR"/>
        </w:rPr>
      </w:pPr>
    </w:p>
    <w:p w:rsidR="00092906" w:rsidRPr="00CE7AE7" w:rsidRDefault="00092906" w:rsidP="00CE7AE7">
      <w:pPr>
        <w:shd w:val="clear" w:color="auto" w:fill="FFFFFF"/>
        <w:spacing w:after="75" w:line="360" w:lineRule="atLeast"/>
        <w:rPr>
          <w:rFonts w:ascii="Arial" w:eastAsia="Times New Roman" w:hAnsi="Arial" w:cs="Arial"/>
          <w:sz w:val="24"/>
          <w:szCs w:val="24"/>
          <w:lang w:eastAsia="fr-FR"/>
        </w:rPr>
      </w:pPr>
    </w:p>
    <w:p w:rsidR="00CE7AE7" w:rsidRDefault="00CE7AE7" w:rsidP="00CE7AE7">
      <w:pPr>
        <w:shd w:val="clear" w:color="auto" w:fill="FFFFFF"/>
        <w:spacing w:after="0" w:line="360" w:lineRule="atLeast"/>
        <w:rPr>
          <w:rFonts w:ascii="Arial" w:eastAsia="Times New Roman" w:hAnsi="Arial" w:cs="Arial"/>
          <w:b/>
          <w:bCs/>
          <w:color w:val="000000"/>
          <w:sz w:val="24"/>
          <w:szCs w:val="24"/>
          <w:lang w:eastAsia="fr-FR"/>
        </w:rPr>
      </w:pPr>
      <w:r w:rsidRPr="00CE7AE7">
        <w:rPr>
          <w:rFonts w:ascii="Arial" w:eastAsia="Times New Roman" w:hAnsi="Arial" w:cs="Arial"/>
          <w:b/>
          <w:bCs/>
          <w:color w:val="000000"/>
          <w:sz w:val="24"/>
          <w:szCs w:val="24"/>
          <w:lang w:eastAsia="fr-FR"/>
        </w:rPr>
        <w:t xml:space="preserve">Akṣobya, bronze doré, incrustations d'argent et de cuivre, XIIe siècle, musée de Patan, Népal - photo Guy </w:t>
      </w:r>
      <w:proofErr w:type="spellStart"/>
      <w:r w:rsidRPr="00CE7AE7">
        <w:rPr>
          <w:rFonts w:ascii="Arial" w:eastAsia="Times New Roman" w:hAnsi="Arial" w:cs="Arial"/>
          <w:b/>
          <w:bCs/>
          <w:color w:val="000000"/>
          <w:sz w:val="24"/>
          <w:szCs w:val="24"/>
          <w:lang w:eastAsia="fr-FR"/>
        </w:rPr>
        <w:t>Bellocq</w:t>
      </w:r>
      <w:proofErr w:type="spellEnd"/>
    </w:p>
    <w:p w:rsidR="00092906" w:rsidRDefault="00092906" w:rsidP="00CE7AE7">
      <w:pPr>
        <w:shd w:val="clear" w:color="auto" w:fill="FFFFFF"/>
        <w:spacing w:after="0" w:line="360" w:lineRule="atLeast"/>
        <w:rPr>
          <w:rFonts w:ascii="Arial" w:eastAsia="Times New Roman" w:hAnsi="Arial" w:cs="Arial"/>
          <w:b/>
          <w:bCs/>
          <w:color w:val="000000"/>
          <w:sz w:val="24"/>
          <w:szCs w:val="24"/>
          <w:lang w:eastAsia="fr-FR"/>
        </w:rPr>
      </w:pPr>
    </w:p>
    <w:p w:rsidR="00092906" w:rsidRPr="00CE7AE7" w:rsidRDefault="00092906" w:rsidP="00CE7AE7">
      <w:pPr>
        <w:shd w:val="clear" w:color="auto" w:fill="FFFFFF"/>
        <w:spacing w:after="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75" w:line="360" w:lineRule="atLeast"/>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12231AD0" wp14:editId="67C8615F">
            <wp:extent cx="5715000" cy="1866900"/>
            <wp:effectExtent l="0" t="0" r="0" b="0"/>
            <wp:docPr id="6" name="Image 6" descr="mud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udra-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CE7AE7" w:rsidRPr="00CE7AE7" w:rsidRDefault="00CE7AE7" w:rsidP="00CE7AE7">
      <w:pPr>
        <w:shd w:val="clear" w:color="auto" w:fill="FFFFFF"/>
        <w:spacing w:after="75"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Geste de méditation ou de concentration</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dhyāna-mudra</w:t>
      </w:r>
      <w:r w:rsidRPr="00CE7AE7">
        <w:rPr>
          <w:rFonts w:ascii="Arial" w:eastAsia="Times New Roman" w:hAnsi="Arial" w:cs="Arial"/>
          <w:b/>
          <w:bCs/>
          <w:color w:val="B00018"/>
          <w:sz w:val="24"/>
          <w:szCs w:val="24"/>
          <w:lang w:eastAsia="fr-FR"/>
        </w:rPr>
        <w:t xml:space="preserve"> ou </w:t>
      </w:r>
      <w:r w:rsidRPr="00CE7AE7">
        <w:rPr>
          <w:rFonts w:ascii="Arial" w:eastAsia="Times New Roman" w:hAnsi="Arial" w:cs="Arial"/>
          <w:b/>
          <w:bCs/>
          <w:i/>
          <w:iCs/>
          <w:color w:val="B00018"/>
          <w:sz w:val="24"/>
          <w:szCs w:val="24"/>
          <w:lang w:eastAsia="fr-FR"/>
        </w:rPr>
        <w:t>samādhi-mudrā</w:t>
      </w:r>
    </w:p>
    <w:p w:rsidR="00CE7AE7" w:rsidRPr="00CE7AE7" w:rsidRDefault="00CE7AE7" w:rsidP="00CE7AE7">
      <w:pPr>
        <w:shd w:val="clear" w:color="auto" w:fill="FFFFFF"/>
        <w:spacing w:after="75" w:line="360" w:lineRule="atLeast"/>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0D4C621D" wp14:editId="465CBBE4">
            <wp:extent cx="2857500" cy="762000"/>
            <wp:effectExtent l="0" t="0" r="0" b="0"/>
            <wp:docPr id="7" name="Image 7" descr="mudr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udra-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Les deux mains sont posées l’une sur l’autre, paumes vers le haut, doigts allongés, elles reposent sur les jambes des personnages assis.</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 geste est caractéristique de deux périodes de méditation durant la vie de Śākyamuni : pendant sa période de jeûne extrême et sous l’arbre de la </w:t>
      </w:r>
      <w:r w:rsidRPr="00CE7AE7">
        <w:rPr>
          <w:rFonts w:ascii="Arial" w:eastAsia="Times New Roman" w:hAnsi="Arial" w:cs="Arial"/>
          <w:i/>
          <w:iCs/>
          <w:color w:val="000000"/>
          <w:sz w:val="24"/>
          <w:szCs w:val="24"/>
          <w:lang w:eastAsia="fr-FR"/>
        </w:rPr>
        <w:t>bodhi</w:t>
      </w:r>
      <w:r w:rsidRPr="00CE7AE7">
        <w:rPr>
          <w:rFonts w:ascii="Arial" w:eastAsia="Times New Roman" w:hAnsi="Arial" w:cs="Arial"/>
          <w:color w:val="000000"/>
          <w:sz w:val="24"/>
          <w:szCs w:val="24"/>
          <w:lang w:eastAsia="fr-FR"/>
        </w:rPr>
        <w:t xml:space="preserve"> avant son Éveil ; ce geste est également attribué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Amitābha et, occasionnellement, au </w:t>
      </w:r>
      <w:r w:rsidRPr="00CE7AE7">
        <w:rPr>
          <w:rFonts w:ascii="Arial" w:eastAsia="Times New Roman" w:hAnsi="Arial" w:cs="Arial"/>
          <w:i/>
          <w:iCs/>
          <w:color w:val="000000"/>
          <w:sz w:val="24"/>
          <w:szCs w:val="24"/>
          <w:lang w:eastAsia="fr-FR"/>
        </w:rPr>
        <w:t>bodhisattva</w:t>
      </w:r>
      <w:r w:rsidRPr="00CE7AE7">
        <w:rPr>
          <w:rFonts w:ascii="Arial" w:eastAsia="Times New Roman" w:hAnsi="Arial" w:cs="Arial"/>
          <w:color w:val="000000"/>
          <w:sz w:val="24"/>
          <w:szCs w:val="24"/>
          <w:lang w:eastAsia="fr-FR"/>
        </w:rPr>
        <w:t xml:space="preserve"> Mañjuśrī ainsi qu’au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de médecine Bhaiṣajyaguru.</w:t>
      </w:r>
    </w:p>
    <w:tbl>
      <w:tblPr>
        <w:tblW w:w="10125" w:type="dxa"/>
        <w:jc w:val="center"/>
        <w:tblCellSpacing w:w="7" w:type="dxa"/>
        <w:tblCellMar>
          <w:top w:w="15" w:type="dxa"/>
          <w:left w:w="15" w:type="dxa"/>
          <w:bottom w:w="15" w:type="dxa"/>
          <w:right w:w="15" w:type="dxa"/>
        </w:tblCellMar>
        <w:tblLook w:val="04A0" w:firstRow="1" w:lastRow="0" w:firstColumn="1" w:lastColumn="0" w:noHBand="0" w:noVBand="1"/>
      </w:tblPr>
      <w:tblGrid>
        <w:gridCol w:w="5253"/>
        <w:gridCol w:w="4872"/>
      </w:tblGrid>
      <w:tr w:rsidR="00CE7AE7" w:rsidRPr="00CE7AE7" w:rsidTr="00CE7AE7">
        <w:trPr>
          <w:tblCellSpacing w:w="7" w:type="dxa"/>
          <w:jc w:val="center"/>
        </w:trPr>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6EA0ECFF" wp14:editId="2EB0E44E">
                  <wp:extent cx="2857500" cy="4295775"/>
                  <wp:effectExtent l="0" t="0" r="0" b="9525"/>
                  <wp:docPr id="8" name="Image 8" descr="mudr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udra-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4295775"/>
                          </a:xfrm>
                          <a:prstGeom prst="rect">
                            <a:avLst/>
                          </a:prstGeom>
                          <a:noFill/>
                          <a:ln>
                            <a:noFill/>
                          </a:ln>
                        </pic:spPr>
                      </pic:pic>
                    </a:graphicData>
                  </a:graphic>
                </wp:inline>
              </w:drawing>
            </w:r>
          </w:p>
        </w:tc>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53334CF1" wp14:editId="721B93C3">
                  <wp:extent cx="3028950" cy="4295775"/>
                  <wp:effectExtent l="0" t="0" r="0" b="9525"/>
                  <wp:docPr id="9" name="Image 9" descr="mudr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dra-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4295775"/>
                          </a:xfrm>
                          <a:prstGeom prst="rect">
                            <a:avLst/>
                          </a:prstGeom>
                          <a:noFill/>
                          <a:ln>
                            <a:noFill/>
                          </a:ln>
                        </pic:spPr>
                      </pic:pic>
                    </a:graphicData>
                  </a:graphic>
                </wp:inline>
              </w:drawing>
            </w:r>
          </w:p>
        </w:tc>
      </w:tr>
      <w:tr w:rsidR="00CE7AE7" w:rsidRPr="00CE7AE7" w:rsidTr="00CE7AE7">
        <w:trPr>
          <w:tblCellSpacing w:w="7" w:type="dxa"/>
          <w:jc w:val="center"/>
        </w:trPr>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Śākyamuni pendant sa période d’ascèse</w:t>
            </w:r>
            <w:r w:rsidRPr="00CE7AE7">
              <w:rPr>
                <w:rFonts w:ascii="Arial" w:eastAsia="Times New Roman" w:hAnsi="Arial" w:cs="Arial"/>
                <w:b/>
                <w:bCs/>
                <w:color w:val="000000"/>
                <w:sz w:val="24"/>
                <w:szCs w:val="24"/>
                <w:lang w:eastAsia="fr-FR"/>
              </w:rPr>
              <w:br/>
            </w:r>
            <w:r w:rsidRPr="00CE7AE7">
              <w:rPr>
                <w:rFonts w:ascii="Arial" w:eastAsia="Times New Roman" w:hAnsi="Arial" w:cs="Arial"/>
                <w:b/>
                <w:bCs/>
                <w:i/>
                <w:iCs/>
                <w:color w:val="000000"/>
                <w:sz w:val="24"/>
                <w:szCs w:val="24"/>
                <w:lang w:eastAsia="fr-FR"/>
              </w:rPr>
              <w:t>buddha</w:t>
            </w:r>
            <w:r w:rsidRPr="00CE7AE7">
              <w:rPr>
                <w:rFonts w:ascii="Arial" w:eastAsia="Times New Roman" w:hAnsi="Arial" w:cs="Arial"/>
                <w:b/>
                <w:bCs/>
                <w:color w:val="000000"/>
                <w:sz w:val="24"/>
                <w:szCs w:val="24"/>
                <w:lang w:eastAsia="fr-FR"/>
              </w:rPr>
              <w:t xml:space="preserve"> du Gandhāra, Mathurā Museum, Inde</w:t>
            </w:r>
            <w:r w:rsidRPr="00CE7AE7">
              <w:rPr>
                <w:rFonts w:ascii="Arial" w:eastAsia="Times New Roman" w:hAnsi="Arial" w:cs="Arial"/>
                <w:b/>
                <w:bCs/>
                <w:color w:val="000000"/>
                <w:sz w:val="24"/>
                <w:szCs w:val="24"/>
                <w:lang w:eastAsia="fr-FR"/>
              </w:rPr>
              <w:br/>
              <w:t>photo Guy Bellocq</w:t>
            </w:r>
          </w:p>
        </w:tc>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i/>
                <w:iCs/>
                <w:color w:val="000000"/>
                <w:sz w:val="24"/>
                <w:szCs w:val="24"/>
                <w:lang w:eastAsia="fr-FR"/>
              </w:rPr>
              <w:t>Śākyamuni</w:t>
            </w:r>
            <w:r w:rsidRPr="00CE7AE7">
              <w:rPr>
                <w:rFonts w:ascii="Arial" w:eastAsia="Times New Roman" w:hAnsi="Arial" w:cs="Arial"/>
                <w:b/>
                <w:bCs/>
                <w:color w:val="000000"/>
                <w:sz w:val="24"/>
                <w:szCs w:val="24"/>
                <w:lang w:eastAsia="fr-FR"/>
              </w:rPr>
              <w:t xml:space="preserve"> pendant sa méditation</w:t>
            </w:r>
            <w:r w:rsidRPr="00CE7AE7">
              <w:rPr>
                <w:rFonts w:ascii="Arial" w:eastAsia="Times New Roman" w:hAnsi="Arial" w:cs="Arial"/>
                <w:b/>
                <w:bCs/>
                <w:color w:val="000000"/>
                <w:sz w:val="24"/>
                <w:szCs w:val="24"/>
                <w:lang w:eastAsia="fr-FR"/>
              </w:rPr>
              <w:br/>
              <w:t xml:space="preserve">sous l’arbre de la </w:t>
            </w:r>
            <w:r w:rsidRPr="00CE7AE7">
              <w:rPr>
                <w:rFonts w:ascii="Arial" w:eastAsia="Times New Roman" w:hAnsi="Arial" w:cs="Arial"/>
                <w:b/>
                <w:bCs/>
                <w:i/>
                <w:iCs/>
                <w:color w:val="000000"/>
                <w:sz w:val="24"/>
                <w:szCs w:val="24"/>
                <w:lang w:eastAsia="fr-FR"/>
              </w:rPr>
              <w:t>bodhi</w:t>
            </w:r>
            <w:r w:rsidRPr="00CE7AE7">
              <w:rPr>
                <w:rFonts w:ascii="Arial" w:eastAsia="Times New Roman" w:hAnsi="Arial" w:cs="Arial"/>
                <w:b/>
                <w:bCs/>
                <w:color w:val="000000"/>
                <w:sz w:val="24"/>
                <w:szCs w:val="24"/>
                <w:lang w:eastAsia="fr-FR"/>
              </w:rPr>
              <w:t>, Japon</w:t>
            </w:r>
            <w:r w:rsidRPr="00CE7AE7">
              <w:rPr>
                <w:rFonts w:ascii="Arial" w:eastAsia="Times New Roman" w:hAnsi="Arial" w:cs="Arial"/>
                <w:b/>
                <w:bCs/>
                <w:color w:val="000000"/>
                <w:sz w:val="24"/>
                <w:szCs w:val="24"/>
                <w:lang w:eastAsia="fr-FR"/>
              </w:rPr>
              <w:br/>
              <w:t>photo Michel Gotin</w:t>
            </w:r>
          </w:p>
        </w:tc>
      </w:tr>
    </w:tbl>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Dans les deux statues les mains sont bien posées l’une sur l’autre ; nous sommes cependant en présence de deux variantes : les pouces sont placés l’un sur sur l’autre chez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gandharien et se touchent en leurs extrémités chez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japonais.</w:t>
      </w:r>
    </w:p>
    <w:p w:rsidR="00CE7AE7" w:rsidRDefault="00CE7AE7" w:rsidP="00CE7AE7">
      <w:pPr>
        <w:shd w:val="clear" w:color="auto" w:fill="FFFFFF"/>
        <w:spacing w:before="200" w:after="280" w:line="360" w:lineRule="atLeast"/>
        <w:outlineLvl w:val="3"/>
        <w:rPr>
          <w:rFonts w:ascii="Arial" w:eastAsia="Times New Roman" w:hAnsi="Arial" w:cs="Arial"/>
          <w:color w:val="000000"/>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lastRenderedPageBreak/>
        <w:t>Geste d’enseignement, de mise en route de la roue de la loi</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dharmacakra-mudrā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anchor distT="0" distB="0" distL="114300" distR="114300" simplePos="0" relativeHeight="251659264" behindDoc="0" locked="0" layoutInCell="1" allowOverlap="1">
            <wp:simplePos x="0" y="0"/>
            <wp:positionH relativeFrom="column">
              <wp:posOffset>-5715</wp:posOffset>
            </wp:positionH>
            <wp:positionV relativeFrom="paragraph">
              <wp:posOffset>6350</wp:posOffset>
            </wp:positionV>
            <wp:extent cx="1428750" cy="1543050"/>
            <wp:effectExtent l="0" t="0" r="0" b="0"/>
            <wp:wrapSquare wrapText="bothSides"/>
            <wp:docPr id="10" name="Image 10" descr="mudr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dra-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AE7">
        <w:rPr>
          <w:rFonts w:ascii="Arial" w:eastAsia="Times New Roman" w:hAnsi="Arial" w:cs="Arial"/>
          <w:color w:val="000000"/>
          <w:sz w:val="24"/>
          <w:szCs w:val="24"/>
          <w:lang w:eastAsia="fr-FR"/>
        </w:rPr>
        <w:t>La main droite est verticale, paume dirigée vers l’avant, le pouce et l’index se touchent ; la main gauche est inclinée et de biais, la paume est tournée vers l’intérieur, le pouce et l’index se touchent ;  les doigts de la main gauche touchent la main droite.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Après son Éveil à Bodh-Gayā, Śākyamuni se dirige vers  Sārnāth, près de Bénarès (Vāraṇāsī), et prononce son premier enseignement public devant ses cinq anciens compagnons d’ascèse qu’il rencontre dans le parc aux daims (Mṛgadāva) de Sārnāth. Ce geste, appelé « mise en mouvement de la Roue de la Loi » (</w:t>
      </w:r>
      <w:r w:rsidRPr="00CE7AE7">
        <w:rPr>
          <w:rFonts w:ascii="Arial" w:eastAsia="Times New Roman" w:hAnsi="Arial" w:cs="Arial"/>
          <w:i/>
          <w:iCs/>
          <w:color w:val="000000"/>
          <w:sz w:val="24"/>
          <w:szCs w:val="24"/>
          <w:lang w:eastAsia="fr-FR"/>
        </w:rPr>
        <w:t>dharmacakra</w:t>
      </w:r>
      <w:r w:rsidRPr="00CE7AE7">
        <w:rPr>
          <w:rFonts w:ascii="Arial" w:eastAsia="Times New Roman" w:hAnsi="Arial" w:cs="Arial"/>
          <w:color w:val="000000"/>
          <w:sz w:val="24"/>
          <w:szCs w:val="24"/>
          <w:lang w:eastAsia="fr-FR"/>
        </w:rPr>
        <w:t>)  symbolise ce premier sermon.</w:t>
      </w:r>
      <w:r w:rsidRPr="00CE7AE7">
        <w:rPr>
          <w:rFonts w:ascii="Arial" w:eastAsia="Times New Roman" w:hAnsi="Arial" w:cs="Arial"/>
          <w:color w:val="000000"/>
          <w:sz w:val="24"/>
          <w:szCs w:val="24"/>
          <w:lang w:eastAsia="fr-FR"/>
        </w:rPr>
        <w:br/>
        <w:t xml:space="preserve">Ce geste est également attribué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passé Viśvabhū,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Vairocana et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futur, Maitreya.</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tbl>
      <w:tblPr>
        <w:tblW w:w="10125" w:type="dxa"/>
        <w:jc w:val="center"/>
        <w:tblCellSpacing w:w="7" w:type="dxa"/>
        <w:tblCellMar>
          <w:top w:w="15" w:type="dxa"/>
          <w:left w:w="15" w:type="dxa"/>
          <w:bottom w:w="15" w:type="dxa"/>
          <w:right w:w="15" w:type="dxa"/>
        </w:tblCellMar>
        <w:tblLook w:val="04A0" w:firstRow="1" w:lastRow="0" w:firstColumn="1" w:lastColumn="0" w:noHBand="0" w:noVBand="1"/>
      </w:tblPr>
      <w:tblGrid>
        <w:gridCol w:w="5206"/>
        <w:gridCol w:w="4919"/>
      </w:tblGrid>
      <w:tr w:rsidR="00CE7AE7" w:rsidRPr="00CE7AE7" w:rsidTr="00CE7AE7">
        <w:trPr>
          <w:tblCellSpacing w:w="7" w:type="dxa"/>
          <w:jc w:val="center"/>
        </w:trPr>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57C9AD70" wp14:editId="6F0F7E12">
                  <wp:extent cx="2857500" cy="2952750"/>
                  <wp:effectExtent l="0" t="0" r="0" b="0"/>
                  <wp:docPr id="11" name="Image 11" descr="mudr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udra-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952750"/>
                          </a:xfrm>
                          <a:prstGeom prst="rect">
                            <a:avLst/>
                          </a:prstGeom>
                          <a:noFill/>
                          <a:ln>
                            <a:noFill/>
                          </a:ln>
                        </pic:spPr>
                      </pic:pic>
                    </a:graphicData>
                  </a:graphic>
                </wp:inline>
              </w:drawing>
            </w:r>
          </w:p>
        </w:tc>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40647751" wp14:editId="69424526">
                  <wp:extent cx="2914650" cy="2952750"/>
                  <wp:effectExtent l="0" t="0" r="0" b="0"/>
                  <wp:docPr id="12" name="Image 12" descr="mud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dra-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952750"/>
                          </a:xfrm>
                          <a:prstGeom prst="rect">
                            <a:avLst/>
                          </a:prstGeom>
                          <a:noFill/>
                          <a:ln>
                            <a:noFill/>
                          </a:ln>
                        </pic:spPr>
                      </pic:pic>
                    </a:graphicData>
                  </a:graphic>
                </wp:inline>
              </w:drawing>
            </w:r>
          </w:p>
        </w:tc>
      </w:tr>
      <w:tr w:rsidR="00CE7AE7" w:rsidRPr="00CE7AE7" w:rsidTr="00CE7AE7">
        <w:trPr>
          <w:tblCellSpacing w:w="7" w:type="dxa"/>
          <w:jc w:val="center"/>
        </w:trPr>
        <w:tc>
          <w:tcPr>
            <w:tcW w:w="0" w:type="auto"/>
            <w:vAlign w:val="center"/>
            <w:hideMark/>
          </w:tcPr>
          <w:p w:rsidR="00CE7AE7" w:rsidRPr="00CE7AE7" w:rsidRDefault="00CE7AE7" w:rsidP="00CE7AE7">
            <w:pPr>
              <w:spacing w:beforeAutospacing="1" w:after="0" w:afterAutospacing="1"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Ajaṇṭā, Mahārāṣtra, Inde, grotte N° 17, Buddha Ve siècle</w:t>
            </w:r>
            <w:r w:rsidRPr="00CE7AE7">
              <w:rPr>
                <w:rFonts w:ascii="Arial" w:eastAsia="Times New Roman" w:hAnsi="Arial" w:cs="Arial"/>
                <w:b/>
                <w:bCs/>
                <w:color w:val="000000"/>
                <w:sz w:val="24"/>
                <w:szCs w:val="24"/>
                <w:lang w:eastAsia="fr-FR"/>
              </w:rPr>
              <w:br/>
              <w:t>Photo G. Bellocq</w:t>
            </w:r>
          </w:p>
        </w:tc>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Stèle de Sārnāth, Indian Museum, Kolkata, Inde</w:t>
            </w:r>
            <w:r w:rsidRPr="00CE7AE7">
              <w:rPr>
                <w:rFonts w:ascii="Arial" w:eastAsia="Times New Roman" w:hAnsi="Arial" w:cs="Arial"/>
                <w:b/>
                <w:bCs/>
                <w:color w:val="000000"/>
                <w:sz w:val="24"/>
                <w:szCs w:val="24"/>
                <w:lang w:eastAsia="fr-FR"/>
              </w:rPr>
              <w:br/>
              <w:t>photo Guy Bellocq</w:t>
            </w:r>
          </w:p>
        </w:tc>
      </w:tr>
    </w:tbl>
    <w:p w:rsidR="00CE7AE7" w:rsidRPr="00CE7AE7" w:rsidRDefault="00CE7AE7" w:rsidP="00092906">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2E63C422" wp14:editId="44681375">
            <wp:extent cx="2857500" cy="3943350"/>
            <wp:effectExtent l="0" t="0" r="0" b="0"/>
            <wp:docPr id="13" name="Image 13" descr="mud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dra-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943350"/>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color w:val="000000"/>
          <w:sz w:val="24"/>
          <w:szCs w:val="24"/>
          <w:lang w:eastAsia="fr-FR"/>
        </w:rPr>
        <w:t>Bouddha Śākyamuni, Birmanie</w:t>
      </w:r>
      <w:r w:rsidRPr="00CE7AE7">
        <w:rPr>
          <w:rFonts w:ascii="Arial" w:eastAsia="Times New Roman" w:hAnsi="Arial" w:cs="Arial"/>
          <w:b/>
          <w:bCs/>
          <w:color w:val="000000"/>
          <w:sz w:val="24"/>
          <w:szCs w:val="24"/>
          <w:lang w:eastAsia="fr-FR"/>
        </w:rPr>
        <w:br/>
        <w:t>photo Michel Gotin</w:t>
      </w: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Geste de l’argumentation, de l’explication de la Loi</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vitarka-mudrā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inline distT="0" distB="0" distL="0" distR="0" wp14:anchorId="67BF57CD" wp14:editId="32984DAF">
            <wp:extent cx="1428750" cy="2590800"/>
            <wp:effectExtent l="0" t="0" r="0" b="0"/>
            <wp:docPr id="14" name="Image 14" descr="mudr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udra-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2590800"/>
                    </a:xfrm>
                    <a:prstGeom prst="rect">
                      <a:avLst/>
                    </a:prstGeom>
                    <a:noFill/>
                    <a:ln>
                      <a:noFill/>
                    </a:ln>
                  </pic:spPr>
                </pic:pic>
              </a:graphicData>
            </a:graphic>
          </wp:inline>
        </w:drawing>
      </w:r>
      <w:r w:rsidRPr="00CE7AE7">
        <w:rPr>
          <w:rFonts w:ascii="Arial" w:eastAsia="Times New Roman" w:hAnsi="Arial" w:cs="Arial"/>
          <w:noProof/>
          <w:color w:val="000000"/>
          <w:sz w:val="24"/>
          <w:szCs w:val="24"/>
          <w:lang w:eastAsia="fr-FR"/>
        </w:rPr>
        <w:drawing>
          <wp:inline distT="0" distB="0" distL="0" distR="0" wp14:anchorId="17E8EFDE" wp14:editId="5E46E174">
            <wp:extent cx="1428750" cy="2495550"/>
            <wp:effectExtent l="0" t="0" r="0" b="0"/>
            <wp:docPr id="15" name="Image 15" descr="mudr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dra-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495550"/>
                    </a:xfrm>
                    <a:prstGeom prst="rect">
                      <a:avLst/>
                    </a:prstGeom>
                    <a:noFill/>
                    <a:ln>
                      <a:noFill/>
                    </a:ln>
                  </pic:spPr>
                </pic:pic>
              </a:graphicData>
            </a:graphic>
          </wp:inline>
        </w:drawing>
      </w:r>
      <w:r w:rsidRPr="00CE7AE7">
        <w:rPr>
          <w:rFonts w:ascii="Arial" w:eastAsia="Times New Roman" w:hAnsi="Arial" w:cs="Arial"/>
          <w:color w:val="000000"/>
          <w:sz w:val="24"/>
          <w:szCs w:val="24"/>
          <w:lang w:eastAsia="fr-FR"/>
        </w:rPr>
        <w:t>La main droite est levée, paume en avant, doigts tournés vers l’extérieur, les extrémités du pouce et de l’index se touchent.</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La main gauche peut également être représentée en symétrique selon l’illustration de droite.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Cette position est complémentaire au </w:t>
      </w:r>
      <w:r w:rsidRPr="00CE7AE7">
        <w:rPr>
          <w:rFonts w:ascii="Arial" w:eastAsia="Times New Roman" w:hAnsi="Arial" w:cs="Arial"/>
          <w:i/>
          <w:iCs/>
          <w:color w:val="000000"/>
          <w:sz w:val="24"/>
          <w:szCs w:val="24"/>
          <w:lang w:eastAsia="fr-FR"/>
        </w:rPr>
        <w:t>dharmacakra-mudrā</w:t>
      </w:r>
      <w:r w:rsidRPr="00CE7AE7">
        <w:rPr>
          <w:rFonts w:ascii="Arial" w:eastAsia="Times New Roman" w:hAnsi="Arial" w:cs="Arial"/>
          <w:color w:val="000000"/>
          <w:sz w:val="24"/>
          <w:szCs w:val="24"/>
          <w:lang w:eastAsia="fr-FR"/>
        </w:rPr>
        <w:t xml:space="preserve">, elle symbolise l’explication, l’argumentation de la doctrine ; outre Śākyamuni, on la trouve chez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passé Śikhin, chez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futur Maitreya et chez </w:t>
      </w:r>
      <w:proofErr w:type="gramStart"/>
      <w:r w:rsidRPr="00CE7AE7">
        <w:rPr>
          <w:rFonts w:ascii="Arial" w:eastAsia="Times New Roman" w:hAnsi="Arial" w:cs="Arial"/>
          <w:color w:val="000000"/>
          <w:sz w:val="24"/>
          <w:szCs w:val="24"/>
          <w:lang w:eastAsia="fr-FR"/>
        </w:rPr>
        <w:t xml:space="preserve">les </w:t>
      </w:r>
      <w:r w:rsidRPr="00CE7AE7">
        <w:rPr>
          <w:rFonts w:ascii="Arial" w:eastAsia="Times New Roman" w:hAnsi="Arial" w:cs="Arial"/>
          <w:i/>
          <w:iCs/>
          <w:color w:val="000000"/>
          <w:sz w:val="24"/>
          <w:szCs w:val="24"/>
          <w:lang w:eastAsia="fr-FR"/>
        </w:rPr>
        <w:t>bodhisattva</w:t>
      </w:r>
      <w:proofErr w:type="gramEnd"/>
      <w:r w:rsidRPr="00CE7AE7">
        <w:rPr>
          <w:rFonts w:ascii="Arial" w:eastAsia="Times New Roman" w:hAnsi="Arial" w:cs="Arial"/>
          <w:color w:val="000000"/>
          <w:sz w:val="24"/>
          <w:szCs w:val="24"/>
          <w:lang w:eastAsia="fr-FR"/>
        </w:rPr>
        <w:t xml:space="preserve"> Kṣitigarbha et Ākāśagarbha.</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tbl>
      <w:tblPr>
        <w:tblW w:w="10125" w:type="dxa"/>
        <w:tblCellSpacing w:w="7" w:type="dxa"/>
        <w:tblCellMar>
          <w:top w:w="15" w:type="dxa"/>
          <w:left w:w="15" w:type="dxa"/>
          <w:bottom w:w="15" w:type="dxa"/>
          <w:right w:w="15" w:type="dxa"/>
        </w:tblCellMar>
        <w:tblLook w:val="04A0" w:firstRow="1" w:lastRow="0" w:firstColumn="1" w:lastColumn="0" w:noHBand="0" w:noVBand="1"/>
      </w:tblPr>
      <w:tblGrid>
        <w:gridCol w:w="5255"/>
        <w:gridCol w:w="4870"/>
      </w:tblGrid>
      <w:tr w:rsidR="00CE7AE7" w:rsidRPr="00CE7AE7" w:rsidTr="00CE7AE7">
        <w:trPr>
          <w:tblCellSpacing w:w="7" w:type="dxa"/>
        </w:trPr>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6043F5C2" wp14:editId="2A37EC6B">
                  <wp:extent cx="3076575" cy="3829050"/>
                  <wp:effectExtent l="0" t="0" r="9525" b="0"/>
                  <wp:docPr id="16" name="Image 16" descr="mudr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dra-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3829050"/>
                          </a:xfrm>
                          <a:prstGeom prst="rect">
                            <a:avLst/>
                          </a:prstGeom>
                          <a:noFill/>
                          <a:ln>
                            <a:noFill/>
                          </a:ln>
                        </pic:spPr>
                      </pic:pic>
                    </a:graphicData>
                  </a:graphic>
                </wp:inline>
              </w:drawing>
            </w:r>
          </w:p>
        </w:tc>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3E758FA6" wp14:editId="3F14B7C9">
                  <wp:extent cx="2857500" cy="3829050"/>
                  <wp:effectExtent l="0" t="0" r="0" b="0"/>
                  <wp:docPr id="17" name="Image 17" descr="mudr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udra-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829050"/>
                          </a:xfrm>
                          <a:prstGeom prst="rect">
                            <a:avLst/>
                          </a:prstGeom>
                          <a:noFill/>
                          <a:ln>
                            <a:noFill/>
                          </a:ln>
                        </pic:spPr>
                      </pic:pic>
                    </a:graphicData>
                  </a:graphic>
                </wp:inline>
              </w:drawing>
            </w:r>
          </w:p>
        </w:tc>
      </w:tr>
      <w:tr w:rsidR="00CE7AE7" w:rsidRPr="00CE7AE7" w:rsidTr="00CE7AE7">
        <w:trPr>
          <w:tblCellSpacing w:w="7" w:type="dxa"/>
        </w:trPr>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Statue rupestre de Vang Sang, Laos</w:t>
            </w:r>
            <w:r w:rsidRPr="00CE7AE7">
              <w:rPr>
                <w:rFonts w:ascii="Arial" w:eastAsia="Times New Roman" w:hAnsi="Arial" w:cs="Arial"/>
                <w:b/>
                <w:bCs/>
                <w:color w:val="000000"/>
                <w:sz w:val="24"/>
                <w:szCs w:val="24"/>
                <w:lang w:eastAsia="fr-FR"/>
              </w:rPr>
              <w:br/>
              <w:t>photo Michel Gotin</w:t>
            </w:r>
          </w:p>
        </w:tc>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Bouddha Śākyamuni, Birmanie</w:t>
            </w:r>
            <w:r w:rsidRPr="00CE7AE7">
              <w:rPr>
                <w:rFonts w:ascii="Arial" w:eastAsia="Times New Roman" w:hAnsi="Arial" w:cs="Arial"/>
                <w:b/>
                <w:bCs/>
                <w:color w:val="000000"/>
                <w:sz w:val="24"/>
                <w:szCs w:val="24"/>
                <w:lang w:eastAsia="fr-FR"/>
              </w:rPr>
              <w:br/>
              <w:t>photo Michel Gotin</w:t>
            </w:r>
          </w:p>
        </w:tc>
      </w:tr>
    </w:tbl>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092906" w:rsidRDefault="00092906"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092906" w:rsidRDefault="00092906"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Geste d’absence de crainte, de protection</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abhaya-mudrā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anchor distT="0" distB="0" distL="114300" distR="114300" simplePos="0" relativeHeight="251660288" behindDoc="0" locked="0" layoutInCell="1" allowOverlap="1">
            <wp:simplePos x="0" y="0"/>
            <wp:positionH relativeFrom="column">
              <wp:posOffset>-5715</wp:posOffset>
            </wp:positionH>
            <wp:positionV relativeFrom="paragraph">
              <wp:posOffset>-8255</wp:posOffset>
            </wp:positionV>
            <wp:extent cx="1428750" cy="2381250"/>
            <wp:effectExtent l="0" t="0" r="0" b="0"/>
            <wp:wrapSquare wrapText="bothSides"/>
            <wp:docPr id="18" name="Image 18" descr="mudr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dra-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AE7">
        <w:rPr>
          <w:rFonts w:ascii="Arial" w:eastAsia="Times New Roman" w:hAnsi="Arial" w:cs="Arial"/>
          <w:color w:val="000000"/>
          <w:sz w:val="24"/>
          <w:szCs w:val="24"/>
          <w:lang w:eastAsia="fr-FR"/>
        </w:rPr>
        <w:t>La main droite est levée, paume tournée vers l’extérieur, les doigts sont tendus vers le haut.</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Geste symbole de protection et d’absence de crainte, cette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évoque l’épisode où le Bouddha fut attaqué par un éléphant furieux dans les rues de Rajagriha. L’animal, réputé pour son mauvais caractère, venait des écuries d’Ajatasatru, roi du Magadha ; il avait été enivré à l’instigation de Devadatta, le « mauvais cousin » du Buddha, qui voulait ainsi l’assassiner… Mais l’éléphant, arrivé devant le Maître, fut subjugué par sa sérénité, s’arrêta net et s’agenouilla devant lui pour lui rendre hommage.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 geste est également attribué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passé Dīpaṃkara et au </w:t>
      </w:r>
      <w:r w:rsidRPr="00CE7AE7">
        <w:rPr>
          <w:rFonts w:ascii="Arial" w:eastAsia="Times New Roman" w:hAnsi="Arial" w:cs="Arial"/>
          <w:i/>
          <w:iCs/>
          <w:color w:val="000000"/>
          <w:sz w:val="24"/>
          <w:szCs w:val="24"/>
          <w:lang w:eastAsia="fr-FR"/>
        </w:rPr>
        <w:t>buddha-jina</w:t>
      </w:r>
      <w:r w:rsidRPr="00CE7AE7">
        <w:rPr>
          <w:rFonts w:ascii="Arial" w:eastAsia="Times New Roman" w:hAnsi="Arial" w:cs="Arial"/>
          <w:color w:val="000000"/>
          <w:sz w:val="24"/>
          <w:szCs w:val="24"/>
          <w:lang w:eastAsia="fr-FR"/>
        </w:rPr>
        <w:t xml:space="preserve"> Amoghasiddhi.</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tbl>
      <w:tblPr>
        <w:tblW w:w="10125" w:type="dxa"/>
        <w:jc w:val="center"/>
        <w:tblCellSpacing w:w="7" w:type="dxa"/>
        <w:tblCellMar>
          <w:top w:w="15" w:type="dxa"/>
          <w:left w:w="15" w:type="dxa"/>
          <w:bottom w:w="15" w:type="dxa"/>
          <w:right w:w="15" w:type="dxa"/>
        </w:tblCellMar>
        <w:tblLook w:val="04A0" w:firstRow="1" w:lastRow="0" w:firstColumn="1" w:lastColumn="0" w:noHBand="0" w:noVBand="1"/>
      </w:tblPr>
      <w:tblGrid>
        <w:gridCol w:w="4761"/>
        <w:gridCol w:w="5364"/>
      </w:tblGrid>
      <w:tr w:rsidR="00CE7AE7" w:rsidRPr="00CE7AE7" w:rsidTr="00CE7AE7">
        <w:trPr>
          <w:tblCellSpacing w:w="7" w:type="dxa"/>
          <w:jc w:val="center"/>
        </w:trPr>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7EAD021D" wp14:editId="4E37034D">
                  <wp:extent cx="2857500" cy="3876675"/>
                  <wp:effectExtent l="0" t="0" r="0" b="9525"/>
                  <wp:docPr id="19" name="Image 19" descr="mudr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dra-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3876675"/>
                          </a:xfrm>
                          <a:prstGeom prst="rect">
                            <a:avLst/>
                          </a:prstGeom>
                          <a:noFill/>
                          <a:ln>
                            <a:noFill/>
                          </a:ln>
                        </pic:spPr>
                      </pic:pic>
                    </a:graphicData>
                  </a:graphic>
                </wp:inline>
              </w:drawing>
            </w:r>
          </w:p>
        </w:tc>
        <w:tc>
          <w:tcPr>
            <w:tcW w:w="0" w:type="auto"/>
            <w:vAlign w:val="center"/>
            <w:hideMark/>
          </w:tcPr>
          <w:p w:rsidR="00CE7AE7" w:rsidRPr="00CE7AE7" w:rsidRDefault="00CE7AE7" w:rsidP="00CE7AE7">
            <w:pPr>
              <w:spacing w:after="75" w:line="240" w:lineRule="auto"/>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2F86890D" wp14:editId="574476A9">
                  <wp:extent cx="3295650" cy="3876675"/>
                  <wp:effectExtent l="0" t="0" r="0" b="9525"/>
                  <wp:docPr id="20" name="Image 20" descr="mudr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udra-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3876675"/>
                          </a:xfrm>
                          <a:prstGeom prst="rect">
                            <a:avLst/>
                          </a:prstGeom>
                          <a:noFill/>
                          <a:ln>
                            <a:noFill/>
                          </a:ln>
                        </pic:spPr>
                      </pic:pic>
                    </a:graphicData>
                  </a:graphic>
                </wp:inline>
              </w:drawing>
            </w:r>
          </w:p>
        </w:tc>
      </w:tr>
      <w:tr w:rsidR="00CE7AE7" w:rsidRPr="00CE7AE7" w:rsidTr="00CE7AE7">
        <w:trPr>
          <w:tblCellSpacing w:w="7" w:type="dxa"/>
          <w:jc w:val="center"/>
        </w:trPr>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Stèle bouddhique de l’époque kouchane</w:t>
            </w:r>
            <w:r w:rsidRPr="00CE7AE7">
              <w:rPr>
                <w:rFonts w:ascii="Arial" w:eastAsia="Times New Roman" w:hAnsi="Arial" w:cs="Arial"/>
                <w:b/>
                <w:bCs/>
                <w:color w:val="000000"/>
                <w:sz w:val="24"/>
                <w:szCs w:val="24"/>
                <w:lang w:eastAsia="fr-FR"/>
              </w:rPr>
              <w:br/>
              <w:t>photo Guy Bellocq</w:t>
            </w:r>
          </w:p>
        </w:tc>
        <w:tc>
          <w:tcPr>
            <w:tcW w:w="0" w:type="auto"/>
            <w:vAlign w:val="center"/>
            <w:hideMark/>
          </w:tcPr>
          <w:p w:rsidR="00CE7AE7" w:rsidRPr="00CE7AE7" w:rsidRDefault="00CE7AE7" w:rsidP="00CE7AE7">
            <w:pPr>
              <w:spacing w:after="0" w:line="240" w:lineRule="auto"/>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Bouddha Śākyamuni, Birmanie</w:t>
            </w:r>
            <w:r w:rsidRPr="00CE7AE7">
              <w:rPr>
                <w:rFonts w:ascii="Arial" w:eastAsia="Times New Roman" w:hAnsi="Arial" w:cs="Arial"/>
                <w:b/>
                <w:bCs/>
                <w:color w:val="000000"/>
                <w:sz w:val="24"/>
                <w:szCs w:val="24"/>
                <w:lang w:eastAsia="fr-FR"/>
              </w:rPr>
              <w:br/>
              <w:t>photo Michel Gotin</w:t>
            </w:r>
          </w:p>
        </w:tc>
      </w:tr>
    </w:tbl>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Geste du don</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varada-mudrā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anchor distT="0" distB="0" distL="114300" distR="114300" simplePos="0" relativeHeight="251661312" behindDoc="0" locked="0" layoutInCell="1" allowOverlap="1">
            <wp:simplePos x="0" y="0"/>
            <wp:positionH relativeFrom="column">
              <wp:posOffset>-5715</wp:posOffset>
            </wp:positionH>
            <wp:positionV relativeFrom="paragraph">
              <wp:posOffset>-4445</wp:posOffset>
            </wp:positionV>
            <wp:extent cx="1428750" cy="2990850"/>
            <wp:effectExtent l="0" t="0" r="0" b="0"/>
            <wp:wrapSquare wrapText="bothSides"/>
            <wp:docPr id="21" name="Image 21" descr="mudr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udra-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AE7">
        <w:rPr>
          <w:rFonts w:ascii="Arial" w:eastAsia="Times New Roman" w:hAnsi="Arial" w:cs="Arial"/>
          <w:color w:val="000000"/>
          <w:sz w:val="24"/>
          <w:szCs w:val="24"/>
          <w:lang w:eastAsia="fr-FR"/>
        </w:rPr>
        <w:t>La main droite est ouverte et tombante, paume tournée vers le spectateur, doigts tendus ; une variante montre l’annulaire et le pouce joints selon le schéma de droite.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 geste caractérise le don, l’accueil, l’offrande ; l’ouverture vers le bas montre que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ne garde rien enfermé dans sa main et que tout ce qui s’y trouve peut se répandre sur le monde.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Outre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Śākyamuni, on le trouve aussi chez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du passé Krakuccandra, chez le </w:t>
      </w:r>
      <w:r w:rsidRPr="00CE7AE7">
        <w:rPr>
          <w:rFonts w:ascii="Arial" w:eastAsia="Times New Roman" w:hAnsi="Arial" w:cs="Arial"/>
          <w:i/>
          <w:iCs/>
          <w:color w:val="000000"/>
          <w:sz w:val="24"/>
          <w:szCs w:val="24"/>
          <w:lang w:eastAsia="fr-FR"/>
        </w:rPr>
        <w:t>Jina</w:t>
      </w:r>
      <w:r w:rsidRPr="00CE7AE7">
        <w:rPr>
          <w:rFonts w:ascii="Arial" w:eastAsia="Times New Roman" w:hAnsi="Arial" w:cs="Arial"/>
          <w:color w:val="000000"/>
          <w:sz w:val="24"/>
          <w:szCs w:val="24"/>
          <w:lang w:eastAsia="fr-FR"/>
        </w:rPr>
        <w:t xml:space="preserve"> Ratnasambhava, chez le </w:t>
      </w:r>
      <w:r w:rsidRPr="00CE7AE7">
        <w:rPr>
          <w:rFonts w:ascii="Arial" w:eastAsia="Times New Roman" w:hAnsi="Arial" w:cs="Arial"/>
          <w:i/>
          <w:iCs/>
          <w:color w:val="000000"/>
          <w:sz w:val="24"/>
          <w:szCs w:val="24"/>
          <w:lang w:eastAsia="fr-FR"/>
        </w:rPr>
        <w:t>bodhisattva</w:t>
      </w:r>
      <w:r w:rsidRPr="00CE7AE7">
        <w:rPr>
          <w:rFonts w:ascii="Arial" w:eastAsia="Times New Roman" w:hAnsi="Arial" w:cs="Arial"/>
          <w:color w:val="000000"/>
          <w:sz w:val="24"/>
          <w:szCs w:val="24"/>
          <w:lang w:eastAsia="fr-FR"/>
        </w:rPr>
        <w:t xml:space="preserve">  Mañjuśrī ainsi que chez les Tārā et le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de médecine Bhaiṣajyaguru.</w:t>
      </w:r>
      <w:r w:rsidRPr="00CE7AE7">
        <w:rPr>
          <w:rFonts w:ascii="Arial" w:eastAsia="Times New Roman" w:hAnsi="Arial" w:cs="Arial"/>
          <w:color w:val="000000"/>
          <w:sz w:val="24"/>
          <w:szCs w:val="24"/>
          <w:lang w:eastAsia="fr-FR"/>
        </w:rPr>
        <w:br/>
      </w:r>
    </w:p>
    <w:p w:rsidR="00CE7AE7" w:rsidRPr="00CE7AE7" w:rsidRDefault="00CE7AE7" w:rsidP="00092906">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57C177AF" wp14:editId="34196844">
            <wp:extent cx="2857500" cy="3952875"/>
            <wp:effectExtent l="0" t="0" r="0" b="9525"/>
            <wp:docPr id="23" name="Image 23" descr="mudr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udra-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952875"/>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color w:val="000000"/>
          <w:sz w:val="24"/>
          <w:szCs w:val="24"/>
          <w:lang w:eastAsia="fr-FR"/>
        </w:rPr>
        <w:t xml:space="preserve">Bouddha </w:t>
      </w:r>
      <w:r w:rsidRPr="00CE7AE7">
        <w:rPr>
          <w:rFonts w:ascii="Arial" w:eastAsia="Times New Roman" w:hAnsi="Arial" w:cs="Arial"/>
          <w:b/>
          <w:bCs/>
          <w:i/>
          <w:iCs/>
          <w:color w:val="000000"/>
          <w:sz w:val="24"/>
          <w:szCs w:val="24"/>
          <w:lang w:eastAsia="fr-FR"/>
        </w:rPr>
        <w:t>Śākyamuni</w:t>
      </w:r>
      <w:r w:rsidRPr="00CE7AE7">
        <w:rPr>
          <w:rFonts w:ascii="Arial" w:eastAsia="Times New Roman" w:hAnsi="Arial" w:cs="Arial"/>
          <w:b/>
          <w:bCs/>
          <w:color w:val="000000"/>
          <w:sz w:val="24"/>
          <w:szCs w:val="24"/>
          <w:lang w:eastAsia="fr-FR"/>
        </w:rPr>
        <w:t>, Birmanie - photo Michel Gotin</w:t>
      </w:r>
      <w:r w:rsidRPr="00CE7AE7">
        <w:rPr>
          <w:rFonts w:ascii="Arial" w:eastAsia="Times New Roman" w:hAnsi="Arial" w:cs="Arial"/>
          <w:color w:val="000000"/>
          <w:sz w:val="24"/>
          <w:szCs w:val="24"/>
          <w:lang w:eastAsia="fr-FR"/>
        </w:rPr>
        <w:br/>
      </w:r>
    </w:p>
    <w:p w:rsidR="00CE7AE7" w:rsidRPr="00CE7AE7" w:rsidRDefault="00CE7AE7" w:rsidP="00CE7AE7">
      <w:pPr>
        <w:shd w:val="clear" w:color="auto" w:fill="FFFFFF"/>
        <w:spacing w:line="360" w:lineRule="atLeast"/>
        <w:rPr>
          <w:rFonts w:ascii="Arial" w:eastAsia="Times New Roman" w:hAnsi="Arial" w:cs="Arial"/>
          <w:i/>
          <w:iCs/>
          <w:color w:val="000000"/>
          <w:sz w:val="24"/>
          <w:szCs w:val="24"/>
          <w:lang w:eastAsia="fr-FR"/>
        </w:rPr>
      </w:pPr>
      <w:r w:rsidRPr="00CE7AE7">
        <w:rPr>
          <w:rFonts w:ascii="Arial" w:eastAsia="Times New Roman" w:hAnsi="Arial" w:cs="Arial"/>
          <w:i/>
          <w:iCs/>
          <w:color w:val="000000"/>
          <w:sz w:val="24"/>
          <w:szCs w:val="24"/>
          <w:lang w:eastAsia="fr-FR"/>
        </w:rPr>
        <w:t>A côté des gestes traditionnellement attribués à Śākyamuni dès les plus anciennes représentations, voici quelques autres mudrā parmi les plus fréquentes.</w:t>
      </w:r>
      <w:r w:rsidRPr="00CE7AE7">
        <w:rPr>
          <w:rFonts w:ascii="Arial" w:eastAsia="Times New Roman" w:hAnsi="Arial" w:cs="Arial"/>
          <w:i/>
          <w:iCs/>
          <w:color w:val="000000"/>
          <w:sz w:val="24"/>
          <w:szCs w:val="24"/>
          <w:lang w:eastAsia="fr-FR"/>
        </w:rPr>
        <w:br/>
      </w: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Geste d’offrande ou d’hommage</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 xml:space="preserve">añjali-mudrā </w:t>
      </w:r>
      <w:r w:rsidRPr="00CE7AE7">
        <w:rPr>
          <w:rFonts w:ascii="Arial" w:eastAsia="Times New Roman" w:hAnsi="Arial" w:cs="Arial"/>
          <w:b/>
          <w:bCs/>
          <w:color w:val="B00018"/>
          <w:sz w:val="24"/>
          <w:szCs w:val="24"/>
          <w:lang w:eastAsia="fr-FR"/>
        </w:rPr>
        <w:t>ou</w:t>
      </w:r>
      <w:r w:rsidRPr="00CE7AE7">
        <w:rPr>
          <w:rFonts w:ascii="Arial" w:eastAsia="Times New Roman" w:hAnsi="Arial" w:cs="Arial"/>
          <w:b/>
          <w:bCs/>
          <w:i/>
          <w:iCs/>
          <w:color w:val="B00018"/>
          <w:sz w:val="24"/>
          <w:szCs w:val="24"/>
          <w:lang w:eastAsia="fr-FR"/>
        </w:rPr>
        <w:t xml:space="preserve"> namaskāra-mudrā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inline distT="0" distB="0" distL="0" distR="0" wp14:anchorId="4DC1BD90" wp14:editId="1C921462">
            <wp:extent cx="1143000" cy="1266825"/>
            <wp:effectExtent l="0" t="0" r="0" b="9525"/>
            <wp:docPr id="24" name="Image 24" descr="mudr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udra-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266825"/>
                    </a:xfrm>
                    <a:prstGeom prst="rect">
                      <a:avLst/>
                    </a:prstGeom>
                    <a:noFill/>
                    <a:ln>
                      <a:noFill/>
                    </a:ln>
                  </pic:spPr>
                </pic:pic>
              </a:graphicData>
            </a:graphic>
          </wp:inline>
        </w:drawing>
      </w:r>
      <w:r w:rsidRPr="00CE7AE7">
        <w:rPr>
          <w:rFonts w:ascii="Arial" w:eastAsia="Times New Roman" w:hAnsi="Arial" w:cs="Arial"/>
          <w:noProof/>
          <w:color w:val="000000"/>
          <w:sz w:val="24"/>
          <w:szCs w:val="24"/>
          <w:lang w:eastAsia="fr-FR"/>
        </w:rPr>
        <w:drawing>
          <wp:inline distT="0" distB="0" distL="0" distR="0" wp14:anchorId="2B24A9A0" wp14:editId="388C378B">
            <wp:extent cx="1476375" cy="1266825"/>
            <wp:effectExtent l="0" t="0" r="9525" b="9525"/>
            <wp:docPr id="25" name="Image 25" descr="mudr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udra-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1266825"/>
                    </a:xfrm>
                    <a:prstGeom prst="rect">
                      <a:avLst/>
                    </a:prstGeom>
                    <a:noFill/>
                    <a:ln>
                      <a:noFill/>
                    </a:ln>
                  </pic:spPr>
                </pic:pic>
              </a:graphicData>
            </a:graphic>
          </wp:inline>
        </w:drawing>
      </w:r>
      <w:r w:rsidRPr="00CE7AE7">
        <w:rPr>
          <w:rFonts w:ascii="Arial" w:eastAsia="Times New Roman" w:hAnsi="Arial" w:cs="Arial"/>
          <w:color w:val="000000"/>
          <w:sz w:val="24"/>
          <w:szCs w:val="24"/>
          <w:lang w:eastAsia="fr-FR"/>
        </w:rPr>
        <w:t>Il existe plusieurs formes de geste d’offrande ; la plus habituelle, celle représentée à gauche (</w:t>
      </w:r>
      <w:r w:rsidRPr="00CE7AE7">
        <w:rPr>
          <w:rFonts w:ascii="Arial" w:eastAsia="Times New Roman" w:hAnsi="Arial" w:cs="Arial"/>
          <w:i/>
          <w:iCs/>
          <w:color w:val="000000"/>
          <w:sz w:val="24"/>
          <w:szCs w:val="24"/>
          <w:lang w:eastAsia="fr-FR"/>
        </w:rPr>
        <w:t>añjali</w:t>
      </w:r>
      <w:r w:rsidRPr="00CE7AE7">
        <w:rPr>
          <w:rFonts w:ascii="Arial" w:eastAsia="Times New Roman" w:hAnsi="Arial" w:cs="Arial"/>
          <w:color w:val="000000"/>
          <w:sz w:val="24"/>
          <w:szCs w:val="24"/>
          <w:lang w:eastAsia="fr-FR"/>
        </w:rPr>
        <w:t>), montre les deux mains jointes et dirigées vers le haut, les paumes et les doigts se touchant ; une autre forme présente les deux mains ouvertes conformément au schéma de droite.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Les deux mains sont jointes et dirigées vers le haut, les paumes et les doigts se touchent.</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 geste est attribué </w:t>
      </w:r>
      <w:proofErr w:type="gramStart"/>
      <w:r w:rsidRPr="00CE7AE7">
        <w:rPr>
          <w:rFonts w:ascii="Arial" w:eastAsia="Times New Roman" w:hAnsi="Arial" w:cs="Arial"/>
          <w:color w:val="000000"/>
          <w:sz w:val="24"/>
          <w:szCs w:val="24"/>
          <w:lang w:eastAsia="fr-FR"/>
        </w:rPr>
        <w:t xml:space="preserve">aux </w:t>
      </w:r>
      <w:r w:rsidRPr="00CE7AE7">
        <w:rPr>
          <w:rFonts w:ascii="Arial" w:eastAsia="Times New Roman" w:hAnsi="Arial" w:cs="Arial"/>
          <w:i/>
          <w:iCs/>
          <w:color w:val="000000"/>
          <w:sz w:val="24"/>
          <w:szCs w:val="24"/>
          <w:lang w:eastAsia="fr-FR"/>
        </w:rPr>
        <w:t>bodhisattva</w:t>
      </w:r>
      <w:proofErr w:type="gramEnd"/>
      <w:r w:rsidRPr="00CE7AE7">
        <w:rPr>
          <w:rFonts w:ascii="Arial" w:eastAsia="Times New Roman" w:hAnsi="Arial" w:cs="Arial"/>
          <w:color w:val="000000"/>
          <w:sz w:val="24"/>
          <w:szCs w:val="24"/>
          <w:lang w:eastAsia="fr-FR"/>
        </w:rPr>
        <w:t xml:space="preserve"> qui rendent hommage aux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il concerne notamment deux des quatre mains d’Avalokiteśvara (Ṣaḍakṣarī-Lokeśvara) et, d’une manière générale, il est effectué par les disciples en dévotion.</w:t>
      </w:r>
    </w:p>
    <w:p w:rsidR="00CE7AE7" w:rsidRPr="00CE7AE7" w:rsidRDefault="00CE7AE7" w:rsidP="00092906">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lastRenderedPageBreak/>
        <w:drawing>
          <wp:inline distT="0" distB="0" distL="0" distR="0" wp14:anchorId="763B8FDB" wp14:editId="660AC5E2">
            <wp:extent cx="2857500" cy="3714750"/>
            <wp:effectExtent l="0" t="0" r="0" b="0"/>
            <wp:docPr id="26" name="Image 26" descr="mudr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udra-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714750"/>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color w:val="000000"/>
          <w:sz w:val="24"/>
          <w:szCs w:val="24"/>
          <w:lang w:eastAsia="fr-FR"/>
        </w:rPr>
        <w:t xml:space="preserve">Bouddha </w:t>
      </w:r>
      <w:r w:rsidRPr="00CE7AE7">
        <w:rPr>
          <w:rFonts w:ascii="Arial" w:eastAsia="Times New Roman" w:hAnsi="Arial" w:cs="Arial"/>
          <w:b/>
          <w:bCs/>
          <w:i/>
          <w:iCs/>
          <w:color w:val="000000"/>
          <w:sz w:val="24"/>
          <w:szCs w:val="24"/>
          <w:lang w:eastAsia="fr-FR"/>
        </w:rPr>
        <w:t>Śākyamuni</w:t>
      </w:r>
      <w:r w:rsidRPr="00CE7AE7">
        <w:rPr>
          <w:rFonts w:ascii="Arial" w:eastAsia="Times New Roman" w:hAnsi="Arial" w:cs="Arial"/>
          <w:b/>
          <w:bCs/>
          <w:color w:val="000000"/>
          <w:sz w:val="24"/>
          <w:szCs w:val="24"/>
          <w:lang w:eastAsia="fr-FR"/>
        </w:rPr>
        <w:t>, Birmanie - photo Michel Gotin</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Le geste de menace</w:t>
      </w:r>
      <w:r w:rsidRPr="00CE7AE7">
        <w:rPr>
          <w:rFonts w:ascii="Arial" w:eastAsia="Times New Roman" w:hAnsi="Arial" w:cs="Arial"/>
          <w:b/>
          <w:bCs/>
          <w:color w:val="B00018"/>
          <w:sz w:val="24"/>
          <w:szCs w:val="24"/>
          <w:lang w:eastAsia="fr-FR"/>
        </w:rPr>
        <w:br/>
      </w:r>
      <w:r w:rsidRPr="00CE7AE7">
        <w:rPr>
          <w:rFonts w:ascii="Arial" w:eastAsia="Times New Roman" w:hAnsi="Arial" w:cs="Arial"/>
          <w:b/>
          <w:bCs/>
          <w:i/>
          <w:iCs/>
          <w:color w:val="B00018"/>
          <w:sz w:val="24"/>
          <w:szCs w:val="24"/>
          <w:lang w:eastAsia="fr-FR"/>
        </w:rPr>
        <w:t>tarjānī-mudrā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inline distT="0" distB="0" distL="0" distR="0" wp14:anchorId="46565CB9" wp14:editId="7A2FF514">
            <wp:extent cx="1905000" cy="838200"/>
            <wp:effectExtent l="0" t="0" r="0" b="0"/>
            <wp:docPr id="27" name="Image 27" descr="mudr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udra-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r w:rsidRPr="00CE7AE7">
        <w:rPr>
          <w:rFonts w:ascii="Arial" w:eastAsia="Times New Roman" w:hAnsi="Arial" w:cs="Arial"/>
          <w:noProof/>
          <w:color w:val="000000"/>
          <w:sz w:val="24"/>
          <w:szCs w:val="24"/>
          <w:lang w:eastAsia="fr-FR"/>
        </w:rPr>
        <w:drawing>
          <wp:inline distT="0" distB="0" distL="0" distR="0" wp14:anchorId="1CD9F23C" wp14:editId="702EA5E9">
            <wp:extent cx="952500" cy="1685925"/>
            <wp:effectExtent l="0" t="0" r="0" b="9525"/>
            <wp:docPr id="28" name="Image 28" descr="mudr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udra-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685925"/>
                    </a:xfrm>
                    <a:prstGeom prst="rect">
                      <a:avLst/>
                    </a:prstGeom>
                    <a:noFill/>
                    <a:ln>
                      <a:noFill/>
                    </a:ln>
                  </pic:spPr>
                </pic:pic>
              </a:graphicData>
            </a:graphic>
          </wp:inline>
        </w:drawing>
      </w:r>
      <w:r w:rsidRPr="00CE7AE7">
        <w:rPr>
          <w:rFonts w:ascii="Arial" w:eastAsia="Times New Roman" w:hAnsi="Arial" w:cs="Arial"/>
          <w:color w:val="000000"/>
          <w:sz w:val="24"/>
          <w:szCs w:val="24"/>
          <w:lang w:eastAsia="fr-FR"/>
        </w:rPr>
        <w:t>Il existe plusieurs représentations du geste de menace ; le plus fréquent, selon l’exemple de gauche, montre un poing fermé, une main à l’horizontale avec un index tendu ; la main peut également être verticale. L’exemple de droite, fréquent dans les bouddhismes tantriques japonais et tibétain, présente une main verticale, le majeur, l’annulaire et le pouce repliés et les deux autres doigts levés.</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La </w:t>
      </w:r>
      <w:r w:rsidRPr="00CE7AE7">
        <w:rPr>
          <w:rFonts w:ascii="Arial" w:eastAsia="Times New Roman" w:hAnsi="Arial" w:cs="Arial"/>
          <w:i/>
          <w:iCs/>
          <w:color w:val="000000"/>
          <w:sz w:val="24"/>
          <w:szCs w:val="24"/>
          <w:lang w:eastAsia="fr-FR"/>
        </w:rPr>
        <w:t>tarjānī-mudrā</w:t>
      </w:r>
      <w:r w:rsidRPr="00CE7AE7">
        <w:rPr>
          <w:rFonts w:ascii="Arial" w:eastAsia="Times New Roman" w:hAnsi="Arial" w:cs="Arial"/>
          <w:color w:val="000000"/>
          <w:sz w:val="24"/>
          <w:szCs w:val="24"/>
          <w:lang w:eastAsia="fr-FR"/>
        </w:rPr>
        <w:t xml:space="preserve"> est l’un des gestes caractéristique des divinités irritées du bouddhisme tantrique du Tibet, du Japon et de Chine, les Vidyārāja. Il symbolise le combat contre les démons, il sert à effrayer les êtres qui persistent dans leurs fausses croyances. Les Vidyārāja sont des divinités irritées, aux multiples visages, bras et jambes ; ils tiennent des armes dans les mains, sont auréolés de flamme et l’un de leurs bras </w:t>
      </w:r>
      <w:proofErr w:type="gramStart"/>
      <w:r w:rsidRPr="00CE7AE7">
        <w:rPr>
          <w:rFonts w:ascii="Arial" w:eastAsia="Times New Roman" w:hAnsi="Arial" w:cs="Arial"/>
          <w:color w:val="000000"/>
          <w:sz w:val="24"/>
          <w:szCs w:val="24"/>
          <w:lang w:eastAsia="fr-FR"/>
        </w:rPr>
        <w:t>présente</w:t>
      </w:r>
      <w:proofErr w:type="gramEnd"/>
      <w:r w:rsidRPr="00CE7AE7">
        <w:rPr>
          <w:rFonts w:ascii="Arial" w:eastAsia="Times New Roman" w:hAnsi="Arial" w:cs="Arial"/>
          <w:color w:val="000000"/>
          <w:sz w:val="24"/>
          <w:szCs w:val="24"/>
          <w:lang w:eastAsia="fr-FR"/>
        </w:rPr>
        <w:t xml:space="preserve"> le geste de menace, souvent représenté, au Tibet, par Mārīcī.</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r w:rsidRPr="00CE7AE7">
        <w:rPr>
          <w:rFonts w:ascii="Arial" w:eastAsia="Times New Roman" w:hAnsi="Arial" w:cs="Arial"/>
          <w:sz w:val="24"/>
          <w:szCs w:val="24"/>
          <w:lang w:eastAsia="fr-FR"/>
        </w:rPr>
        <w:lastRenderedPageBreak/>
        <w:pict>
          <v:rect id="_x0000_i1025" style="width:0;height:.75pt" o:hrstd="t" o:hr="t" fillcolor="#a0a0a0" stroked="f"/>
        </w:pict>
      </w:r>
    </w:p>
    <w:p w:rsidR="00CE7AE7" w:rsidRPr="00CE7AE7" w:rsidRDefault="00CE7AE7" w:rsidP="00CE7AE7">
      <w:pPr>
        <w:shd w:val="clear" w:color="auto" w:fill="FFFFFF"/>
        <w:spacing w:before="200" w:after="28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color w:val="B00018"/>
          <w:sz w:val="24"/>
          <w:szCs w:val="24"/>
          <w:lang w:eastAsia="fr-FR"/>
        </w:rPr>
        <w:t xml:space="preserve">La </w:t>
      </w:r>
      <w:r w:rsidRPr="00CE7AE7">
        <w:rPr>
          <w:rFonts w:ascii="Arial" w:eastAsia="Times New Roman" w:hAnsi="Arial" w:cs="Arial"/>
          <w:b/>
          <w:bCs/>
          <w:i/>
          <w:iCs/>
          <w:color w:val="B00018"/>
          <w:sz w:val="24"/>
          <w:szCs w:val="24"/>
          <w:lang w:eastAsia="fr-FR"/>
        </w:rPr>
        <w:t>vajrahūṃkāra-mudrā</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Certaines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 xml:space="preserve"> sont associées à des objets rituels, tel est le cas de la </w:t>
      </w:r>
      <w:r w:rsidRPr="00CE7AE7">
        <w:rPr>
          <w:rFonts w:ascii="Arial" w:eastAsia="Times New Roman" w:hAnsi="Arial" w:cs="Arial"/>
          <w:i/>
          <w:iCs/>
          <w:color w:val="000000"/>
          <w:sz w:val="24"/>
          <w:szCs w:val="24"/>
          <w:lang w:eastAsia="fr-FR"/>
        </w:rPr>
        <w:t>vajrahūṃkāra-mudrā.</w:t>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noProof/>
          <w:color w:val="000000"/>
          <w:sz w:val="24"/>
          <w:szCs w:val="24"/>
          <w:lang w:eastAsia="fr-FR"/>
        </w:rPr>
        <w:drawing>
          <wp:inline distT="0" distB="0" distL="0" distR="0" wp14:anchorId="489FCBBD" wp14:editId="3557E14F">
            <wp:extent cx="1905000" cy="1495425"/>
            <wp:effectExtent l="0" t="0" r="0" b="9525"/>
            <wp:docPr id="29" name="Image 29" descr="mudr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udra-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r w:rsidRPr="00CE7AE7">
        <w:rPr>
          <w:rFonts w:ascii="Arial" w:eastAsia="Times New Roman" w:hAnsi="Arial" w:cs="Arial"/>
          <w:noProof/>
          <w:color w:val="000000"/>
          <w:sz w:val="24"/>
          <w:szCs w:val="24"/>
          <w:lang w:eastAsia="fr-FR"/>
        </w:rPr>
        <w:drawing>
          <wp:inline distT="0" distB="0" distL="0" distR="0" wp14:anchorId="076B70C4" wp14:editId="3FD1B33E">
            <wp:extent cx="1905000" cy="1428750"/>
            <wp:effectExtent l="0" t="0" r="0" b="0"/>
            <wp:docPr id="30" name="Image 30" descr="mudr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udra-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CE7AE7">
        <w:rPr>
          <w:rFonts w:ascii="Arial" w:eastAsia="Times New Roman" w:hAnsi="Arial" w:cs="Arial"/>
          <w:color w:val="000000"/>
          <w:sz w:val="24"/>
          <w:szCs w:val="24"/>
          <w:lang w:eastAsia="fr-FR"/>
        </w:rPr>
        <w:t>Les mains sont levées et croisées, la main droite passant devant la gauche, l’index et l’auriculaire sont levés, les trois autres doigts repliés (schéma de gauche) ; le pouce, le majeur et l’annulaire tiennent des objets rituels constitués d’une cloche (</w:t>
      </w:r>
      <w:r w:rsidRPr="00CE7AE7">
        <w:rPr>
          <w:rFonts w:ascii="Arial" w:eastAsia="Times New Roman" w:hAnsi="Arial" w:cs="Arial"/>
          <w:i/>
          <w:iCs/>
          <w:color w:val="000000"/>
          <w:sz w:val="24"/>
          <w:szCs w:val="24"/>
          <w:lang w:eastAsia="fr-FR"/>
        </w:rPr>
        <w:t>ghaṇṭā</w:t>
      </w:r>
      <w:r w:rsidRPr="00CE7AE7">
        <w:rPr>
          <w:rFonts w:ascii="Arial" w:eastAsia="Times New Roman" w:hAnsi="Arial" w:cs="Arial"/>
          <w:color w:val="000000"/>
          <w:sz w:val="24"/>
          <w:szCs w:val="24"/>
          <w:lang w:eastAsia="fr-FR"/>
        </w:rPr>
        <w:t xml:space="preserve">) dans la main gauche et d’un </w:t>
      </w:r>
      <w:r w:rsidRPr="00CE7AE7">
        <w:rPr>
          <w:rFonts w:ascii="Arial" w:eastAsia="Times New Roman" w:hAnsi="Arial" w:cs="Arial"/>
          <w:i/>
          <w:iCs/>
          <w:color w:val="000000"/>
          <w:sz w:val="24"/>
          <w:szCs w:val="24"/>
          <w:lang w:eastAsia="fr-FR"/>
        </w:rPr>
        <w:t>vajra</w:t>
      </w:r>
      <w:r w:rsidRPr="00CE7AE7">
        <w:rPr>
          <w:rFonts w:ascii="Arial" w:eastAsia="Times New Roman" w:hAnsi="Arial" w:cs="Arial"/>
          <w:color w:val="000000"/>
          <w:sz w:val="24"/>
          <w:szCs w:val="24"/>
          <w:lang w:eastAsia="fr-FR"/>
        </w:rPr>
        <w:t xml:space="preserve"> double dans la main droite (schéma de droite).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Cette représentation est surtout associée au </w:t>
      </w:r>
      <w:r w:rsidRPr="00CE7AE7">
        <w:rPr>
          <w:rFonts w:ascii="Arial" w:eastAsia="Times New Roman" w:hAnsi="Arial" w:cs="Arial"/>
          <w:i/>
          <w:iCs/>
          <w:color w:val="000000"/>
          <w:sz w:val="24"/>
          <w:szCs w:val="24"/>
          <w:lang w:eastAsia="fr-FR"/>
        </w:rPr>
        <w:t>buddha</w:t>
      </w:r>
      <w:r w:rsidRPr="00CE7AE7">
        <w:rPr>
          <w:rFonts w:ascii="Arial" w:eastAsia="Times New Roman" w:hAnsi="Arial" w:cs="Arial"/>
          <w:color w:val="000000"/>
          <w:sz w:val="24"/>
          <w:szCs w:val="24"/>
          <w:lang w:eastAsia="fr-FR"/>
        </w:rPr>
        <w:t xml:space="preserve"> primordial Vajradhara, mais aussi à Saṃvara.</w:t>
      </w:r>
    </w:p>
    <w:p w:rsidR="00CE7AE7" w:rsidRPr="00CE7AE7" w:rsidRDefault="00CE7AE7" w:rsidP="00CE7AE7">
      <w:pPr>
        <w:shd w:val="clear" w:color="auto" w:fill="FFFFFF"/>
        <w:spacing w:after="75" w:line="360" w:lineRule="atLeast"/>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6AD63986" wp14:editId="3769A804">
            <wp:extent cx="3810000" cy="2590800"/>
            <wp:effectExtent l="0" t="0" r="0" b="0"/>
            <wp:docPr id="31" name="Image 31" descr="mud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udra-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i/>
          <w:iCs/>
          <w:color w:val="000000"/>
          <w:sz w:val="24"/>
          <w:szCs w:val="24"/>
          <w:lang w:eastAsia="fr-FR"/>
        </w:rPr>
        <w:t>Buddha</w:t>
      </w:r>
      <w:r w:rsidRPr="00CE7AE7">
        <w:rPr>
          <w:rFonts w:ascii="Arial" w:eastAsia="Times New Roman" w:hAnsi="Arial" w:cs="Arial"/>
          <w:b/>
          <w:bCs/>
          <w:color w:val="000000"/>
          <w:sz w:val="24"/>
          <w:szCs w:val="24"/>
          <w:lang w:eastAsia="fr-FR"/>
        </w:rPr>
        <w:t xml:space="preserve"> primordial Vajradhara, Tibet, XIVe siècle, laiton doré (détail) – Droits réservés</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after="0" w:line="360" w:lineRule="atLeast"/>
        <w:outlineLvl w:val="3"/>
        <w:rPr>
          <w:rFonts w:ascii="Arial" w:eastAsia="Times New Roman" w:hAnsi="Arial" w:cs="Arial"/>
          <w:b/>
          <w:bCs/>
          <w:color w:val="B00018"/>
          <w:sz w:val="24"/>
          <w:szCs w:val="24"/>
          <w:lang w:eastAsia="fr-FR"/>
        </w:rPr>
      </w:pPr>
      <w:r w:rsidRPr="00CE7AE7">
        <w:rPr>
          <w:rFonts w:ascii="Arial" w:eastAsia="Times New Roman" w:hAnsi="Arial" w:cs="Arial"/>
          <w:b/>
          <w:bCs/>
          <w:noProof/>
          <w:color w:val="B00018"/>
          <w:sz w:val="24"/>
          <w:szCs w:val="24"/>
          <w:lang w:eastAsia="fr-FR"/>
        </w:rPr>
        <w:lastRenderedPageBreak/>
        <w:drawing>
          <wp:inline distT="0" distB="0" distL="0" distR="0" wp14:anchorId="6B5F6F4D" wp14:editId="473DD29C">
            <wp:extent cx="1428750" cy="2219325"/>
            <wp:effectExtent l="0" t="0" r="0" b="9525"/>
            <wp:docPr id="32" name="Image 32" descr="mudr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udra-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2219325"/>
                    </a:xfrm>
                    <a:prstGeom prst="rect">
                      <a:avLst/>
                    </a:prstGeom>
                    <a:noFill/>
                    <a:ln>
                      <a:noFill/>
                    </a:ln>
                  </pic:spPr>
                </pic:pic>
              </a:graphicData>
            </a:graphic>
          </wp:inline>
        </w:drawing>
      </w:r>
      <w:r w:rsidRPr="00CE7AE7">
        <w:rPr>
          <w:rFonts w:ascii="Arial" w:eastAsia="Times New Roman" w:hAnsi="Arial" w:cs="Arial"/>
          <w:b/>
          <w:bCs/>
          <w:color w:val="B00018"/>
          <w:sz w:val="24"/>
          <w:szCs w:val="24"/>
          <w:lang w:eastAsia="fr-FR"/>
        </w:rPr>
        <w:t xml:space="preserve">La </w:t>
      </w:r>
      <w:r w:rsidRPr="00CE7AE7">
        <w:rPr>
          <w:rFonts w:ascii="Arial" w:eastAsia="Times New Roman" w:hAnsi="Arial" w:cs="Arial"/>
          <w:b/>
          <w:bCs/>
          <w:i/>
          <w:iCs/>
          <w:color w:val="B00018"/>
          <w:sz w:val="24"/>
          <w:szCs w:val="24"/>
          <w:lang w:eastAsia="fr-FR"/>
        </w:rPr>
        <w:t>Bodyagrī-mudrā</w:t>
      </w:r>
      <w:bookmarkStart w:id="0" w:name="_GoBack"/>
      <w:bookmarkEnd w:id="0"/>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Dans ce geste spécifique à Mahāvairocana assis, les deux mains sont devant la poitrine, le point gauche est fermé, à l’exception de l’index dressé et saisi par la main droite fermée.</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r w:rsidRPr="00CE7AE7">
        <w:rPr>
          <w:rFonts w:ascii="Arial" w:eastAsia="Times New Roman" w:hAnsi="Arial" w:cs="Arial"/>
          <w:color w:val="000000"/>
          <w:sz w:val="24"/>
          <w:szCs w:val="24"/>
          <w:lang w:eastAsia="fr-FR"/>
        </w:rPr>
        <w:t xml:space="preserve">Mahāvairocana  peut être également représenté en </w:t>
      </w:r>
      <w:r w:rsidRPr="00CE7AE7">
        <w:rPr>
          <w:rFonts w:ascii="Arial" w:eastAsia="Times New Roman" w:hAnsi="Arial" w:cs="Arial"/>
          <w:i/>
          <w:iCs/>
          <w:color w:val="000000"/>
          <w:sz w:val="24"/>
          <w:szCs w:val="24"/>
          <w:lang w:eastAsia="fr-FR"/>
        </w:rPr>
        <w:t>dharmacakra-mudrā</w:t>
      </w:r>
      <w:r w:rsidRPr="00CE7AE7">
        <w:rPr>
          <w:rFonts w:ascii="Arial" w:eastAsia="Times New Roman" w:hAnsi="Arial" w:cs="Arial"/>
          <w:color w:val="000000"/>
          <w:sz w:val="24"/>
          <w:szCs w:val="24"/>
          <w:lang w:eastAsia="fr-FR"/>
        </w:rPr>
        <w:t>.</w:t>
      </w:r>
    </w:p>
    <w:p w:rsidR="00CE7AE7" w:rsidRPr="00CE7AE7" w:rsidRDefault="00CE7AE7" w:rsidP="00CE7AE7">
      <w:pPr>
        <w:shd w:val="clear" w:color="auto" w:fill="FFFFFF"/>
        <w:spacing w:before="240" w:after="160" w:line="360" w:lineRule="atLeast"/>
        <w:rPr>
          <w:rFonts w:ascii="Arial" w:eastAsia="Times New Roman" w:hAnsi="Arial" w:cs="Arial"/>
          <w:color w:val="000000"/>
          <w:sz w:val="24"/>
          <w:szCs w:val="24"/>
          <w:lang w:eastAsia="fr-FR"/>
        </w:rPr>
      </w:pPr>
    </w:p>
    <w:p w:rsidR="00CE7AE7" w:rsidRPr="00CE7AE7" w:rsidRDefault="00CE7AE7" w:rsidP="00CE7AE7">
      <w:pPr>
        <w:shd w:val="clear" w:color="auto" w:fill="FFFFFF"/>
        <w:spacing w:after="0" w:line="360" w:lineRule="atLeast"/>
        <w:rPr>
          <w:rFonts w:ascii="Arial" w:eastAsia="Times New Roman" w:hAnsi="Arial" w:cs="Arial"/>
          <w:color w:val="000000"/>
          <w:sz w:val="24"/>
          <w:szCs w:val="24"/>
          <w:lang w:eastAsia="fr-FR"/>
        </w:rPr>
      </w:pPr>
      <w:r w:rsidRPr="00CE7AE7">
        <w:rPr>
          <w:rFonts w:ascii="Arial" w:eastAsia="Times New Roman" w:hAnsi="Arial" w:cs="Arial"/>
          <w:b/>
          <w:bCs/>
          <w:color w:val="000000"/>
          <w:sz w:val="24"/>
          <w:szCs w:val="24"/>
          <w:lang w:eastAsia="fr-FR"/>
        </w:rPr>
        <w:t>Statue japonaise de Mahāvairocana (école Shingon) – Droits réservés</w:t>
      </w:r>
    </w:p>
    <w:p w:rsidR="00CE7AE7" w:rsidRPr="00CE7AE7" w:rsidRDefault="00CE7AE7" w:rsidP="00F54A18">
      <w:pPr>
        <w:shd w:val="clear" w:color="auto" w:fill="FFFFFF"/>
        <w:spacing w:after="75" w:line="360" w:lineRule="atLeast"/>
        <w:jc w:val="center"/>
        <w:rPr>
          <w:rFonts w:ascii="Arial" w:eastAsia="Times New Roman" w:hAnsi="Arial" w:cs="Arial"/>
          <w:sz w:val="24"/>
          <w:szCs w:val="24"/>
          <w:lang w:eastAsia="fr-FR"/>
        </w:rPr>
      </w:pPr>
      <w:r w:rsidRPr="00CE7AE7">
        <w:rPr>
          <w:rFonts w:ascii="Arial" w:eastAsia="Times New Roman" w:hAnsi="Arial" w:cs="Arial"/>
          <w:noProof/>
          <w:sz w:val="24"/>
          <w:szCs w:val="24"/>
          <w:lang w:eastAsia="fr-FR"/>
        </w:rPr>
        <w:drawing>
          <wp:inline distT="0" distB="0" distL="0" distR="0" wp14:anchorId="29C58B68" wp14:editId="1A81DB5E">
            <wp:extent cx="2857500" cy="3457575"/>
            <wp:effectExtent l="0" t="0" r="0" b="9525"/>
            <wp:docPr id="33" name="Image 33" descr="mudr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udra-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457575"/>
                    </a:xfrm>
                    <a:prstGeom prst="rect">
                      <a:avLst/>
                    </a:prstGeom>
                    <a:noFill/>
                    <a:ln>
                      <a:noFill/>
                    </a:ln>
                  </pic:spPr>
                </pic:pic>
              </a:graphicData>
            </a:graphic>
          </wp:inline>
        </w:drawing>
      </w:r>
    </w:p>
    <w:p w:rsidR="00CE7AE7" w:rsidRPr="00CE7AE7" w:rsidRDefault="00CE7AE7" w:rsidP="00CE7AE7">
      <w:pPr>
        <w:shd w:val="clear" w:color="auto" w:fill="FFFFFF"/>
        <w:spacing w:after="75" w:line="360" w:lineRule="atLeast"/>
        <w:rPr>
          <w:rFonts w:ascii="Arial" w:eastAsia="Times New Roman" w:hAnsi="Arial" w:cs="Arial"/>
          <w:sz w:val="24"/>
          <w:szCs w:val="24"/>
          <w:lang w:eastAsia="fr-FR"/>
        </w:rPr>
      </w:pPr>
      <w:r w:rsidRPr="00CE7AE7">
        <w:rPr>
          <w:rFonts w:ascii="Arial" w:eastAsia="Times New Roman" w:hAnsi="Arial" w:cs="Arial"/>
          <w:b/>
          <w:bCs/>
          <w:color w:val="000000"/>
          <w:sz w:val="24"/>
          <w:szCs w:val="24"/>
          <w:lang w:eastAsia="fr-FR"/>
        </w:rPr>
        <w:t>Dossier préparé par Guy Bellocq</w:t>
      </w:r>
    </w:p>
    <w:p w:rsidR="00F54A18" w:rsidRDefault="00F54A18" w:rsidP="00CE7AE7">
      <w:pPr>
        <w:shd w:val="clear" w:color="auto" w:fill="FFFFFF"/>
        <w:spacing w:before="750" w:after="750" w:line="360" w:lineRule="atLeast"/>
        <w:rPr>
          <w:rFonts w:ascii="Arial" w:eastAsia="Times New Roman" w:hAnsi="Arial" w:cs="Arial"/>
          <w:sz w:val="24"/>
          <w:szCs w:val="24"/>
          <w:lang w:eastAsia="fr-FR"/>
        </w:rPr>
      </w:pPr>
    </w:p>
    <w:p w:rsidR="00F54A18" w:rsidRDefault="00F54A18" w:rsidP="00CE7AE7">
      <w:pPr>
        <w:shd w:val="clear" w:color="auto" w:fill="FFFFFF"/>
        <w:spacing w:before="750" w:after="750" w:line="360" w:lineRule="atLeast"/>
        <w:rPr>
          <w:rFonts w:ascii="Arial" w:eastAsia="Times New Roman" w:hAnsi="Arial" w:cs="Arial"/>
          <w:sz w:val="24"/>
          <w:szCs w:val="24"/>
          <w:lang w:eastAsia="fr-FR"/>
        </w:rPr>
      </w:pPr>
    </w:p>
    <w:p w:rsidR="00F54A18" w:rsidRDefault="00F54A18" w:rsidP="00CE7AE7">
      <w:pPr>
        <w:shd w:val="clear" w:color="auto" w:fill="FFFFFF"/>
        <w:spacing w:before="750" w:after="750" w:line="360" w:lineRule="atLeast"/>
        <w:rPr>
          <w:rFonts w:ascii="Arial" w:eastAsia="Times New Roman" w:hAnsi="Arial" w:cs="Arial"/>
          <w:sz w:val="24"/>
          <w:szCs w:val="24"/>
          <w:lang w:eastAsia="fr-FR"/>
        </w:rPr>
      </w:pPr>
    </w:p>
    <w:p w:rsidR="00CE7AE7" w:rsidRPr="00CE7AE7" w:rsidRDefault="00CE7AE7" w:rsidP="00CE7AE7">
      <w:pPr>
        <w:shd w:val="clear" w:color="auto" w:fill="FFFFFF"/>
        <w:spacing w:before="750" w:after="750" w:line="360" w:lineRule="atLeast"/>
        <w:rPr>
          <w:rFonts w:ascii="Arial" w:eastAsia="Times New Roman" w:hAnsi="Arial" w:cs="Arial"/>
          <w:sz w:val="24"/>
          <w:szCs w:val="24"/>
          <w:lang w:eastAsia="fr-FR"/>
        </w:rPr>
      </w:pPr>
      <w:r w:rsidRPr="00CE7AE7">
        <w:rPr>
          <w:rFonts w:ascii="Arial" w:eastAsia="Times New Roman" w:hAnsi="Arial" w:cs="Arial"/>
          <w:sz w:val="24"/>
          <w:szCs w:val="24"/>
          <w:lang w:eastAsia="fr-FR"/>
        </w:rPr>
        <w:lastRenderedPageBreak/>
        <w:pict>
          <v:rect id="_x0000_i1026" style="width:150pt;height:.75pt" o:hrpct="0" o:hrstd="t" o:hrnoshade="t" o:hr="t" fillcolor="black" stroked="f"/>
        </w:pict>
      </w:r>
    </w:p>
    <w:p w:rsidR="00CE7AE7" w:rsidRPr="00CE7AE7" w:rsidRDefault="00CE7AE7" w:rsidP="00CE7AE7">
      <w:pPr>
        <w:shd w:val="clear" w:color="auto" w:fill="FFFFFF"/>
        <w:spacing w:before="200" w:after="280" w:line="360" w:lineRule="atLeast"/>
        <w:outlineLvl w:val="4"/>
        <w:rPr>
          <w:rFonts w:ascii="Arial" w:eastAsia="Times New Roman" w:hAnsi="Arial" w:cs="Arial"/>
          <w:b/>
          <w:bCs/>
          <w:color w:val="000000"/>
          <w:sz w:val="24"/>
          <w:szCs w:val="24"/>
          <w:lang w:eastAsia="fr-FR"/>
        </w:rPr>
      </w:pPr>
      <w:r w:rsidRPr="00CE7AE7">
        <w:rPr>
          <w:rFonts w:ascii="Arial" w:eastAsia="Times New Roman" w:hAnsi="Arial" w:cs="Arial"/>
          <w:b/>
          <w:bCs/>
          <w:color w:val="000000"/>
          <w:sz w:val="24"/>
          <w:szCs w:val="24"/>
          <w:lang w:eastAsia="fr-FR"/>
        </w:rPr>
        <w:t>Pour en savoir plus</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eastAsia="fr-FR"/>
        </w:rPr>
        <w:t>Les Dieux du Bouddhisme</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b/>
          <w:bCs/>
          <w:color w:val="000000"/>
          <w:sz w:val="24"/>
          <w:szCs w:val="24"/>
          <w:lang w:eastAsia="fr-FR"/>
        </w:rPr>
        <w:t>Louis Frédéric</w:t>
      </w:r>
      <w:r w:rsidRPr="00CE7AE7">
        <w:rPr>
          <w:rFonts w:ascii="Arial" w:eastAsia="Times New Roman" w:hAnsi="Arial" w:cs="Arial"/>
          <w:color w:val="000000"/>
          <w:sz w:val="24"/>
          <w:szCs w:val="24"/>
          <w:lang w:eastAsia="fr-FR"/>
        </w:rPr>
        <w:t>, Flammarion, 1992, 35-48</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val="en-US" w:eastAsia="fr-FR"/>
        </w:rPr>
      </w:pPr>
      <w:r w:rsidRPr="00CE7AE7">
        <w:rPr>
          <w:rFonts w:ascii="Arial" w:eastAsia="Times New Roman" w:hAnsi="Arial" w:cs="Arial"/>
          <w:b/>
          <w:bCs/>
          <w:color w:val="B00018"/>
          <w:sz w:val="24"/>
          <w:szCs w:val="24"/>
          <w:lang w:val="en-US" w:eastAsia="fr-FR"/>
        </w:rPr>
        <w:t>An Encyclopedia of Buddhist Deities, Demigods, Godlings, Saints and Demons</w:t>
      </w:r>
      <w:r w:rsidRPr="00CE7AE7">
        <w:rPr>
          <w:rFonts w:ascii="Arial" w:eastAsia="Times New Roman" w:hAnsi="Arial" w:cs="Arial"/>
          <w:i/>
          <w:iCs/>
          <w:color w:val="000000"/>
          <w:sz w:val="24"/>
          <w:szCs w:val="24"/>
          <w:lang w:val="en-US" w:eastAsia="fr-FR"/>
        </w:rPr>
        <w:t xml:space="preserve">, </w:t>
      </w:r>
      <w:r w:rsidRPr="00CE7AE7">
        <w:rPr>
          <w:rFonts w:ascii="Arial" w:eastAsia="Times New Roman" w:hAnsi="Arial" w:cs="Arial"/>
          <w:b/>
          <w:bCs/>
          <w:color w:val="000000"/>
          <w:sz w:val="24"/>
          <w:szCs w:val="24"/>
          <w:lang w:val="en-US" w:eastAsia="fr-FR"/>
        </w:rPr>
        <w:t>Fredrick Bunce</w:t>
      </w:r>
      <w:r w:rsidRPr="00CE7AE7">
        <w:rPr>
          <w:rFonts w:ascii="Arial" w:eastAsia="Times New Roman" w:hAnsi="Arial" w:cs="Arial"/>
          <w:color w:val="000000"/>
          <w:sz w:val="24"/>
          <w:szCs w:val="24"/>
          <w:lang w:val="en-US" w:eastAsia="fr-FR"/>
        </w:rPr>
        <w:t>, DK Printworld (P) Ltd, New Delhi, 1994, pp.1019-1027</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eastAsia="fr-FR"/>
        </w:rPr>
        <w:t>Vers l’Art Sacré du Tibet</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b/>
          <w:bCs/>
          <w:color w:val="000000"/>
          <w:sz w:val="24"/>
          <w:szCs w:val="24"/>
          <w:lang w:eastAsia="fr-FR"/>
        </w:rPr>
        <w:t>Nathalie Gyatso</w:t>
      </w:r>
      <w:r w:rsidRPr="00CE7AE7">
        <w:rPr>
          <w:rFonts w:ascii="Arial" w:eastAsia="Times New Roman" w:hAnsi="Arial" w:cs="Arial"/>
          <w:color w:val="000000"/>
          <w:sz w:val="24"/>
          <w:szCs w:val="24"/>
          <w:lang w:eastAsia="fr-FR"/>
        </w:rPr>
        <w:t>, éditions Claire Lumière, 1994, pp.128-130</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eastAsia="fr-FR"/>
        </w:rPr>
        <w:t>Dictionnaire encyclopédique du bouddhisme</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b/>
          <w:bCs/>
          <w:color w:val="000000"/>
          <w:sz w:val="24"/>
          <w:szCs w:val="24"/>
          <w:lang w:eastAsia="fr-FR"/>
        </w:rPr>
        <w:t>Philippe Cornu</w:t>
      </w:r>
      <w:r w:rsidRPr="00CE7AE7">
        <w:rPr>
          <w:rFonts w:ascii="Arial" w:eastAsia="Times New Roman" w:hAnsi="Arial" w:cs="Arial"/>
          <w:color w:val="000000"/>
          <w:sz w:val="24"/>
          <w:szCs w:val="24"/>
          <w:lang w:eastAsia="fr-FR"/>
        </w:rPr>
        <w:t>, Le Seuil, 2001, pp. 390-393</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eastAsia="fr-FR"/>
        </w:rPr>
        <w:t>Petite Encyclopédie des Divinités et Symboles du Bouddhisme Tibétain</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b/>
          <w:bCs/>
          <w:color w:val="000000"/>
          <w:sz w:val="24"/>
          <w:szCs w:val="24"/>
          <w:lang w:eastAsia="fr-FR"/>
        </w:rPr>
        <w:t>Tcheuky Sèngué</w:t>
      </w:r>
      <w:r w:rsidRPr="00CE7AE7">
        <w:rPr>
          <w:rFonts w:ascii="Arial" w:eastAsia="Times New Roman" w:hAnsi="Arial" w:cs="Arial"/>
          <w:color w:val="000000"/>
          <w:sz w:val="24"/>
          <w:szCs w:val="24"/>
          <w:lang w:eastAsia="fr-FR"/>
        </w:rPr>
        <w:t>, éditions Claire Lumière, 2002, pp. 446-448</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eastAsia="fr-FR"/>
        </w:rPr>
        <w:t>Mudras, L’art de la gestuelle spiriruelle</w:t>
      </w:r>
      <w:r w:rsidRPr="00CE7AE7">
        <w:rPr>
          <w:rFonts w:ascii="Arial" w:eastAsia="Times New Roman" w:hAnsi="Arial" w:cs="Arial"/>
          <w:color w:val="000000"/>
          <w:sz w:val="24"/>
          <w:szCs w:val="24"/>
          <w:lang w:eastAsia="fr-FR"/>
        </w:rPr>
        <w:t xml:space="preserve">, </w:t>
      </w:r>
      <w:r w:rsidRPr="00CE7AE7">
        <w:rPr>
          <w:rFonts w:ascii="Arial" w:eastAsia="Times New Roman" w:hAnsi="Arial" w:cs="Arial"/>
          <w:b/>
          <w:bCs/>
          <w:color w:val="000000"/>
          <w:sz w:val="24"/>
          <w:szCs w:val="24"/>
          <w:lang w:eastAsia="fr-FR"/>
        </w:rPr>
        <w:t>Ingrid Ramm-Bonwitt</w:t>
      </w:r>
      <w:r w:rsidRPr="00CE7AE7">
        <w:rPr>
          <w:rFonts w:ascii="Arial" w:eastAsia="Times New Roman" w:hAnsi="Arial" w:cs="Arial"/>
          <w:color w:val="000000"/>
          <w:sz w:val="24"/>
          <w:szCs w:val="24"/>
          <w:lang w:eastAsia="fr-FR"/>
        </w:rPr>
        <w:t>, Editions Dangles, 2004</w:t>
      </w:r>
    </w:p>
    <w:p w:rsidR="00CE7AE7" w:rsidRPr="00CE7AE7" w:rsidRDefault="00CE7AE7" w:rsidP="00CE7AE7">
      <w:pPr>
        <w:numPr>
          <w:ilvl w:val="0"/>
          <w:numId w:val="1"/>
        </w:numPr>
        <w:shd w:val="clear" w:color="auto" w:fill="FFFFFF"/>
        <w:spacing w:before="240" w:after="160" w:line="360" w:lineRule="atLeast"/>
        <w:ind w:left="0"/>
        <w:rPr>
          <w:rFonts w:ascii="Arial" w:eastAsia="Times New Roman" w:hAnsi="Arial" w:cs="Arial"/>
          <w:color w:val="000000"/>
          <w:sz w:val="24"/>
          <w:szCs w:val="24"/>
          <w:lang w:eastAsia="fr-FR"/>
        </w:rPr>
      </w:pPr>
      <w:r w:rsidRPr="00CE7AE7">
        <w:rPr>
          <w:rFonts w:ascii="Arial" w:eastAsia="Times New Roman" w:hAnsi="Arial" w:cs="Arial"/>
          <w:b/>
          <w:bCs/>
          <w:color w:val="B00018"/>
          <w:sz w:val="24"/>
          <w:szCs w:val="24"/>
          <w:lang w:val="en-US" w:eastAsia="fr-FR"/>
        </w:rPr>
        <w:t>Mudras in Buddhist and Hindu Practices</w:t>
      </w:r>
      <w:r w:rsidRPr="00CE7AE7">
        <w:rPr>
          <w:rFonts w:ascii="Arial" w:eastAsia="Times New Roman" w:hAnsi="Arial" w:cs="Arial"/>
          <w:color w:val="000000"/>
          <w:sz w:val="24"/>
          <w:szCs w:val="24"/>
          <w:lang w:val="en-US" w:eastAsia="fr-FR"/>
        </w:rPr>
        <w:t xml:space="preserve">, </w:t>
      </w:r>
      <w:r w:rsidRPr="00CE7AE7">
        <w:rPr>
          <w:rFonts w:ascii="Arial" w:eastAsia="Times New Roman" w:hAnsi="Arial" w:cs="Arial"/>
          <w:b/>
          <w:bCs/>
          <w:color w:val="000000"/>
          <w:sz w:val="24"/>
          <w:szCs w:val="24"/>
          <w:lang w:val="en-US" w:eastAsia="fr-FR"/>
        </w:rPr>
        <w:t>Fredrick Bunce</w:t>
      </w:r>
      <w:r w:rsidRPr="00CE7AE7">
        <w:rPr>
          <w:rFonts w:ascii="Arial" w:eastAsia="Times New Roman" w:hAnsi="Arial" w:cs="Arial"/>
          <w:color w:val="000000"/>
          <w:sz w:val="24"/>
          <w:szCs w:val="24"/>
          <w:lang w:val="en-US" w:eastAsia="fr-FR"/>
        </w:rPr>
        <w:t xml:space="preserve">, DK Printworld (P) Ltd, New Delhi, 2005. </w:t>
      </w:r>
      <w:r w:rsidRPr="00CE7AE7">
        <w:rPr>
          <w:rFonts w:ascii="Arial" w:eastAsia="Times New Roman" w:hAnsi="Arial" w:cs="Arial"/>
          <w:color w:val="000000"/>
          <w:sz w:val="24"/>
          <w:szCs w:val="24"/>
          <w:lang w:eastAsia="fr-FR"/>
        </w:rPr>
        <w:t xml:space="preserve">Cet ouvrage de 350 pages exclusivement dédié aux </w:t>
      </w:r>
      <w:r w:rsidRPr="00CE7AE7">
        <w:rPr>
          <w:rFonts w:ascii="Arial" w:eastAsia="Times New Roman" w:hAnsi="Arial" w:cs="Arial"/>
          <w:i/>
          <w:iCs/>
          <w:color w:val="000000"/>
          <w:sz w:val="24"/>
          <w:szCs w:val="24"/>
          <w:lang w:eastAsia="fr-FR"/>
        </w:rPr>
        <w:t>mudrā</w:t>
      </w:r>
      <w:r w:rsidRPr="00CE7AE7">
        <w:rPr>
          <w:rFonts w:ascii="Arial" w:eastAsia="Times New Roman" w:hAnsi="Arial" w:cs="Arial"/>
          <w:color w:val="000000"/>
          <w:sz w:val="24"/>
          <w:szCs w:val="24"/>
          <w:lang w:eastAsia="fr-FR"/>
        </w:rPr>
        <w:t>-s présente plus de 700 illustrations différentes de gestes symboliques.</w:t>
      </w:r>
    </w:p>
    <w:p w:rsidR="00EE771C" w:rsidRPr="00CE7AE7" w:rsidRDefault="00EE771C" w:rsidP="00CE7AE7">
      <w:pPr>
        <w:rPr>
          <w:rFonts w:ascii="Arial" w:hAnsi="Arial" w:cs="Arial"/>
          <w:sz w:val="24"/>
          <w:szCs w:val="24"/>
        </w:rPr>
      </w:pPr>
    </w:p>
    <w:sectPr w:rsidR="00EE771C" w:rsidRPr="00CE7AE7" w:rsidSect="00CE7AE7">
      <w:pgSz w:w="11906" w:h="16838"/>
      <w:pgMar w:top="142"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7A0F"/>
    <w:multiLevelType w:val="multilevel"/>
    <w:tmpl w:val="DCD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7"/>
    <w:rsid w:val="00092906"/>
    <w:rsid w:val="00CE7AE7"/>
    <w:rsid w:val="00EE771C"/>
    <w:rsid w:val="00F54A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7A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AE7"/>
    <w:rPr>
      <w:rFonts w:ascii="Tahoma" w:hAnsi="Tahoma" w:cs="Tahoma"/>
      <w:sz w:val="16"/>
      <w:szCs w:val="16"/>
    </w:rPr>
  </w:style>
  <w:style w:type="character" w:styleId="Lienhypertexte">
    <w:name w:val="Hyperlink"/>
    <w:basedOn w:val="Policepardfaut"/>
    <w:uiPriority w:val="99"/>
    <w:unhideWhenUsed/>
    <w:rsid w:val="00CE7A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7A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AE7"/>
    <w:rPr>
      <w:rFonts w:ascii="Tahoma" w:hAnsi="Tahoma" w:cs="Tahoma"/>
      <w:sz w:val="16"/>
      <w:szCs w:val="16"/>
    </w:rPr>
  </w:style>
  <w:style w:type="character" w:styleId="Lienhypertexte">
    <w:name w:val="Hyperlink"/>
    <w:basedOn w:val="Policepardfaut"/>
    <w:uiPriority w:val="99"/>
    <w:unhideWhenUsed/>
    <w:rsid w:val="00CE7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815241">
      <w:bodyDiv w:val="1"/>
      <w:marLeft w:val="0"/>
      <w:marRight w:val="0"/>
      <w:marTop w:val="0"/>
      <w:marBottom w:val="0"/>
      <w:divBdr>
        <w:top w:val="none" w:sz="0" w:space="0" w:color="auto"/>
        <w:left w:val="none" w:sz="0" w:space="0" w:color="auto"/>
        <w:bottom w:val="none" w:sz="0" w:space="0" w:color="auto"/>
        <w:right w:val="none" w:sz="0" w:space="0" w:color="auto"/>
      </w:divBdr>
      <w:divsChild>
        <w:div w:id="1638296696">
          <w:marLeft w:val="0"/>
          <w:marRight w:val="0"/>
          <w:marTop w:val="0"/>
          <w:marBottom w:val="0"/>
          <w:divBdr>
            <w:top w:val="single" w:sz="6" w:space="0" w:color="BD8D46"/>
            <w:left w:val="single" w:sz="6" w:space="0" w:color="BD8D46"/>
            <w:bottom w:val="single" w:sz="6" w:space="0" w:color="BD8D46"/>
            <w:right w:val="single" w:sz="6" w:space="0" w:color="BD8D46"/>
          </w:divBdr>
          <w:divsChild>
            <w:div w:id="68230782">
              <w:marLeft w:val="0"/>
              <w:marRight w:val="0"/>
              <w:marTop w:val="0"/>
              <w:marBottom w:val="0"/>
              <w:divBdr>
                <w:top w:val="none" w:sz="0" w:space="0" w:color="auto"/>
                <w:left w:val="none" w:sz="0" w:space="0" w:color="auto"/>
                <w:bottom w:val="none" w:sz="0" w:space="0" w:color="auto"/>
                <w:right w:val="none" w:sz="0" w:space="0" w:color="auto"/>
              </w:divBdr>
              <w:divsChild>
                <w:div w:id="1700542111">
                  <w:marLeft w:val="0"/>
                  <w:marRight w:val="0"/>
                  <w:marTop w:val="0"/>
                  <w:marBottom w:val="0"/>
                  <w:divBdr>
                    <w:top w:val="none" w:sz="0" w:space="0" w:color="auto"/>
                    <w:left w:val="none" w:sz="0" w:space="0" w:color="auto"/>
                    <w:bottom w:val="none" w:sz="0" w:space="0" w:color="auto"/>
                    <w:right w:val="none" w:sz="0" w:space="0" w:color="auto"/>
                  </w:divBdr>
                  <w:divsChild>
                    <w:div w:id="47848993">
                      <w:marLeft w:val="0"/>
                      <w:marRight w:val="0"/>
                      <w:marTop w:val="0"/>
                      <w:marBottom w:val="0"/>
                      <w:divBdr>
                        <w:top w:val="none" w:sz="0" w:space="0" w:color="auto"/>
                        <w:left w:val="none" w:sz="0" w:space="0" w:color="auto"/>
                        <w:bottom w:val="none" w:sz="0" w:space="0" w:color="auto"/>
                        <w:right w:val="none" w:sz="0" w:space="0" w:color="auto"/>
                      </w:divBdr>
                      <w:divsChild>
                        <w:div w:id="577784480">
                          <w:marLeft w:val="0"/>
                          <w:marRight w:val="-14400"/>
                          <w:marTop w:val="0"/>
                          <w:marBottom w:val="0"/>
                          <w:divBdr>
                            <w:top w:val="none" w:sz="0" w:space="0" w:color="auto"/>
                            <w:left w:val="none" w:sz="0" w:space="0" w:color="auto"/>
                            <w:bottom w:val="none" w:sz="0" w:space="0" w:color="auto"/>
                            <w:right w:val="none" w:sz="0" w:space="0" w:color="auto"/>
                          </w:divBdr>
                          <w:divsChild>
                            <w:div w:id="760611988">
                              <w:marLeft w:val="0"/>
                              <w:marRight w:val="0"/>
                              <w:marTop w:val="0"/>
                              <w:marBottom w:val="0"/>
                              <w:divBdr>
                                <w:top w:val="none" w:sz="0" w:space="0" w:color="auto"/>
                                <w:left w:val="none" w:sz="0" w:space="0" w:color="auto"/>
                                <w:bottom w:val="none" w:sz="0" w:space="0" w:color="auto"/>
                                <w:right w:val="none" w:sz="0" w:space="0" w:color="auto"/>
                              </w:divBdr>
                              <w:divsChild>
                                <w:div w:id="333345361">
                                  <w:marLeft w:val="0"/>
                                  <w:marRight w:val="0"/>
                                  <w:marTop w:val="0"/>
                                  <w:marBottom w:val="0"/>
                                  <w:divBdr>
                                    <w:top w:val="none" w:sz="0" w:space="0" w:color="auto"/>
                                    <w:left w:val="none" w:sz="0" w:space="0" w:color="auto"/>
                                    <w:bottom w:val="none" w:sz="0" w:space="0" w:color="auto"/>
                                    <w:right w:val="none" w:sz="0" w:space="0" w:color="auto"/>
                                  </w:divBdr>
                                  <w:divsChild>
                                    <w:div w:id="1799957229">
                                      <w:marLeft w:val="0"/>
                                      <w:marRight w:val="0"/>
                                      <w:marTop w:val="0"/>
                                      <w:marBottom w:val="0"/>
                                      <w:divBdr>
                                        <w:top w:val="none" w:sz="0" w:space="0" w:color="auto"/>
                                        <w:left w:val="none" w:sz="0" w:space="0" w:color="auto"/>
                                        <w:bottom w:val="none" w:sz="0" w:space="0" w:color="auto"/>
                                        <w:right w:val="none" w:sz="0" w:space="0" w:color="auto"/>
                                      </w:divBdr>
                                    </w:div>
                                    <w:div w:id="1749884630">
                                      <w:marLeft w:val="0"/>
                                      <w:marRight w:val="0"/>
                                      <w:marTop w:val="0"/>
                                      <w:marBottom w:val="0"/>
                                      <w:divBdr>
                                        <w:top w:val="none" w:sz="0" w:space="0" w:color="auto"/>
                                        <w:left w:val="none" w:sz="0" w:space="0" w:color="auto"/>
                                        <w:bottom w:val="none" w:sz="0" w:space="0" w:color="auto"/>
                                        <w:right w:val="none" w:sz="0" w:space="0" w:color="auto"/>
                                      </w:divBdr>
                                      <w:divsChild>
                                        <w:div w:id="1038358722">
                                          <w:marLeft w:val="0"/>
                                          <w:marRight w:val="0"/>
                                          <w:marTop w:val="0"/>
                                          <w:marBottom w:val="0"/>
                                          <w:divBdr>
                                            <w:top w:val="none" w:sz="0" w:space="0" w:color="auto"/>
                                            <w:left w:val="none" w:sz="0" w:space="0" w:color="auto"/>
                                            <w:bottom w:val="none" w:sz="0" w:space="0" w:color="auto"/>
                                            <w:right w:val="none" w:sz="0" w:space="0" w:color="auto"/>
                                          </w:divBdr>
                                          <w:divsChild>
                                            <w:div w:id="776363863">
                                              <w:marLeft w:val="0"/>
                                              <w:marRight w:val="0"/>
                                              <w:marTop w:val="0"/>
                                              <w:marBottom w:val="0"/>
                                              <w:divBdr>
                                                <w:top w:val="none" w:sz="0" w:space="0" w:color="auto"/>
                                                <w:left w:val="none" w:sz="0" w:space="0" w:color="auto"/>
                                                <w:bottom w:val="none" w:sz="0" w:space="0" w:color="auto"/>
                                                <w:right w:val="none" w:sz="0" w:space="0" w:color="auto"/>
                                              </w:divBdr>
                                              <w:divsChild>
                                                <w:div w:id="15489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4920">
                                          <w:marLeft w:val="0"/>
                                          <w:marRight w:val="0"/>
                                          <w:marTop w:val="0"/>
                                          <w:marBottom w:val="0"/>
                                          <w:divBdr>
                                            <w:top w:val="none" w:sz="0" w:space="0" w:color="auto"/>
                                            <w:left w:val="none" w:sz="0" w:space="0" w:color="auto"/>
                                            <w:bottom w:val="none" w:sz="0" w:space="0" w:color="auto"/>
                                            <w:right w:val="none" w:sz="0" w:space="0" w:color="auto"/>
                                          </w:divBdr>
                                          <w:divsChild>
                                            <w:div w:id="1010718052">
                                              <w:marLeft w:val="0"/>
                                              <w:marRight w:val="0"/>
                                              <w:marTop w:val="0"/>
                                              <w:marBottom w:val="0"/>
                                              <w:divBdr>
                                                <w:top w:val="none" w:sz="0" w:space="0" w:color="auto"/>
                                                <w:left w:val="none" w:sz="0" w:space="0" w:color="auto"/>
                                                <w:bottom w:val="none" w:sz="0" w:space="0" w:color="auto"/>
                                                <w:right w:val="none" w:sz="0" w:space="0" w:color="auto"/>
                                              </w:divBdr>
                                              <w:divsChild>
                                                <w:div w:id="615866526">
                                                  <w:marLeft w:val="0"/>
                                                  <w:marRight w:val="0"/>
                                                  <w:marTop w:val="0"/>
                                                  <w:marBottom w:val="0"/>
                                                  <w:divBdr>
                                                    <w:top w:val="none" w:sz="0" w:space="0" w:color="auto"/>
                                                    <w:left w:val="none" w:sz="0" w:space="0" w:color="auto"/>
                                                    <w:bottom w:val="none" w:sz="0" w:space="0" w:color="auto"/>
                                                    <w:right w:val="none" w:sz="0" w:space="0" w:color="auto"/>
                                                  </w:divBdr>
                                                  <w:divsChild>
                                                    <w:div w:id="1293632499">
                                                      <w:marLeft w:val="0"/>
                                                      <w:marRight w:val="0"/>
                                                      <w:marTop w:val="75"/>
                                                      <w:marBottom w:val="75"/>
                                                      <w:divBdr>
                                                        <w:top w:val="none" w:sz="0" w:space="0" w:color="auto"/>
                                                        <w:left w:val="none" w:sz="0" w:space="0" w:color="auto"/>
                                                        <w:bottom w:val="none" w:sz="0" w:space="0" w:color="auto"/>
                                                        <w:right w:val="none" w:sz="0" w:space="0" w:color="auto"/>
                                                      </w:divBdr>
                                                    </w:div>
                                                    <w:div w:id="1331370838">
                                                      <w:marLeft w:val="0"/>
                                                      <w:marRight w:val="0"/>
                                                      <w:marTop w:val="75"/>
                                                      <w:marBottom w:val="75"/>
                                                      <w:divBdr>
                                                        <w:top w:val="none" w:sz="0" w:space="0" w:color="auto"/>
                                                        <w:left w:val="none" w:sz="0" w:space="0" w:color="auto"/>
                                                        <w:bottom w:val="none" w:sz="0" w:space="0" w:color="auto"/>
                                                        <w:right w:val="none" w:sz="0" w:space="0" w:color="auto"/>
                                                      </w:divBdr>
                                                    </w:div>
                                                    <w:div w:id="809906214">
                                                      <w:marLeft w:val="0"/>
                                                      <w:marRight w:val="0"/>
                                                      <w:marTop w:val="75"/>
                                                      <w:marBottom w:val="75"/>
                                                      <w:divBdr>
                                                        <w:top w:val="none" w:sz="0" w:space="0" w:color="auto"/>
                                                        <w:left w:val="none" w:sz="0" w:space="0" w:color="auto"/>
                                                        <w:bottom w:val="none" w:sz="0" w:space="0" w:color="auto"/>
                                                        <w:right w:val="none" w:sz="0" w:space="0" w:color="auto"/>
                                                      </w:divBdr>
                                                    </w:div>
                                                    <w:div w:id="697510128">
                                                      <w:marLeft w:val="0"/>
                                                      <w:marRight w:val="0"/>
                                                      <w:marTop w:val="75"/>
                                                      <w:marBottom w:val="75"/>
                                                      <w:divBdr>
                                                        <w:top w:val="none" w:sz="0" w:space="0" w:color="auto"/>
                                                        <w:left w:val="none" w:sz="0" w:space="0" w:color="auto"/>
                                                        <w:bottom w:val="none" w:sz="0" w:space="0" w:color="auto"/>
                                                        <w:right w:val="none" w:sz="0" w:space="0" w:color="auto"/>
                                                      </w:divBdr>
                                                    </w:div>
                                                    <w:div w:id="195197526">
                                                      <w:marLeft w:val="0"/>
                                                      <w:marRight w:val="0"/>
                                                      <w:marTop w:val="75"/>
                                                      <w:marBottom w:val="75"/>
                                                      <w:divBdr>
                                                        <w:top w:val="none" w:sz="0" w:space="0" w:color="auto"/>
                                                        <w:left w:val="none" w:sz="0" w:space="0" w:color="auto"/>
                                                        <w:bottom w:val="none" w:sz="0" w:space="0" w:color="auto"/>
                                                        <w:right w:val="none" w:sz="0" w:space="0" w:color="auto"/>
                                                      </w:divBdr>
                                                    </w:div>
                                                    <w:div w:id="1807166342">
                                                      <w:marLeft w:val="0"/>
                                                      <w:marRight w:val="0"/>
                                                      <w:marTop w:val="75"/>
                                                      <w:marBottom w:val="75"/>
                                                      <w:divBdr>
                                                        <w:top w:val="none" w:sz="0" w:space="0" w:color="auto"/>
                                                        <w:left w:val="none" w:sz="0" w:space="0" w:color="auto"/>
                                                        <w:bottom w:val="none" w:sz="0" w:space="0" w:color="auto"/>
                                                        <w:right w:val="none" w:sz="0" w:space="0" w:color="auto"/>
                                                      </w:divBdr>
                                                    </w:div>
                                                    <w:div w:id="1013263515">
                                                      <w:marLeft w:val="0"/>
                                                      <w:marRight w:val="0"/>
                                                      <w:marTop w:val="75"/>
                                                      <w:marBottom w:val="75"/>
                                                      <w:divBdr>
                                                        <w:top w:val="none" w:sz="0" w:space="0" w:color="auto"/>
                                                        <w:left w:val="none" w:sz="0" w:space="0" w:color="auto"/>
                                                        <w:bottom w:val="none" w:sz="0" w:space="0" w:color="auto"/>
                                                        <w:right w:val="none" w:sz="0" w:space="0" w:color="auto"/>
                                                      </w:divBdr>
                                                    </w:div>
                                                    <w:div w:id="245723145">
                                                      <w:marLeft w:val="0"/>
                                                      <w:marRight w:val="0"/>
                                                      <w:marTop w:val="75"/>
                                                      <w:marBottom w:val="75"/>
                                                      <w:divBdr>
                                                        <w:top w:val="none" w:sz="0" w:space="0" w:color="auto"/>
                                                        <w:left w:val="none" w:sz="0" w:space="0" w:color="auto"/>
                                                        <w:bottom w:val="none" w:sz="0" w:space="0" w:color="auto"/>
                                                        <w:right w:val="none" w:sz="0" w:space="0" w:color="auto"/>
                                                      </w:divBdr>
                                                    </w:div>
                                                    <w:div w:id="613753714">
                                                      <w:marLeft w:val="0"/>
                                                      <w:marRight w:val="0"/>
                                                      <w:marTop w:val="75"/>
                                                      <w:marBottom w:val="75"/>
                                                      <w:divBdr>
                                                        <w:top w:val="none" w:sz="0" w:space="0" w:color="auto"/>
                                                        <w:left w:val="none" w:sz="0" w:space="0" w:color="auto"/>
                                                        <w:bottom w:val="none" w:sz="0" w:space="0" w:color="auto"/>
                                                        <w:right w:val="none" w:sz="0" w:space="0" w:color="auto"/>
                                                      </w:divBdr>
                                                    </w:div>
                                                    <w:div w:id="277298609">
                                                      <w:marLeft w:val="0"/>
                                                      <w:marRight w:val="0"/>
                                                      <w:marTop w:val="75"/>
                                                      <w:marBottom w:val="75"/>
                                                      <w:divBdr>
                                                        <w:top w:val="none" w:sz="0" w:space="0" w:color="auto"/>
                                                        <w:left w:val="none" w:sz="0" w:space="0" w:color="auto"/>
                                                        <w:bottom w:val="none" w:sz="0" w:space="0" w:color="auto"/>
                                                        <w:right w:val="none" w:sz="0" w:space="0" w:color="auto"/>
                                                      </w:divBdr>
                                                    </w:div>
                                                    <w:div w:id="1416897666">
                                                      <w:marLeft w:val="0"/>
                                                      <w:marRight w:val="0"/>
                                                      <w:marTop w:val="75"/>
                                                      <w:marBottom w:val="75"/>
                                                      <w:divBdr>
                                                        <w:top w:val="none" w:sz="0" w:space="0" w:color="auto"/>
                                                        <w:left w:val="none" w:sz="0" w:space="0" w:color="auto"/>
                                                        <w:bottom w:val="none" w:sz="0" w:space="0" w:color="auto"/>
                                                        <w:right w:val="none" w:sz="0" w:space="0" w:color="auto"/>
                                                      </w:divBdr>
                                                    </w:div>
                                                    <w:div w:id="532380550">
                                                      <w:marLeft w:val="0"/>
                                                      <w:marRight w:val="0"/>
                                                      <w:marTop w:val="75"/>
                                                      <w:marBottom w:val="75"/>
                                                      <w:divBdr>
                                                        <w:top w:val="none" w:sz="0" w:space="0" w:color="auto"/>
                                                        <w:left w:val="none" w:sz="0" w:space="0" w:color="auto"/>
                                                        <w:bottom w:val="none" w:sz="0" w:space="0" w:color="auto"/>
                                                        <w:right w:val="none" w:sz="0" w:space="0" w:color="auto"/>
                                                      </w:divBdr>
                                                    </w:div>
                                                    <w:div w:id="992371013">
                                                      <w:marLeft w:val="0"/>
                                                      <w:marRight w:val="0"/>
                                                      <w:marTop w:val="75"/>
                                                      <w:marBottom w:val="75"/>
                                                      <w:divBdr>
                                                        <w:top w:val="none" w:sz="0" w:space="0" w:color="auto"/>
                                                        <w:left w:val="none" w:sz="0" w:space="0" w:color="auto"/>
                                                        <w:bottom w:val="none" w:sz="0" w:space="0" w:color="auto"/>
                                                        <w:right w:val="none" w:sz="0" w:space="0" w:color="auto"/>
                                                      </w:divBdr>
                                                    </w:div>
                                                    <w:div w:id="819032872">
                                                      <w:marLeft w:val="0"/>
                                                      <w:marRight w:val="0"/>
                                                      <w:marTop w:val="75"/>
                                                      <w:marBottom w:val="75"/>
                                                      <w:divBdr>
                                                        <w:top w:val="none" w:sz="0" w:space="0" w:color="auto"/>
                                                        <w:left w:val="none" w:sz="0" w:space="0" w:color="auto"/>
                                                        <w:bottom w:val="none" w:sz="0" w:space="0" w:color="auto"/>
                                                        <w:right w:val="none" w:sz="0" w:space="0" w:color="auto"/>
                                                      </w:divBdr>
                                                    </w:div>
                                                    <w:div w:id="440729990">
                                                      <w:marLeft w:val="0"/>
                                                      <w:marRight w:val="0"/>
                                                      <w:marTop w:val="75"/>
                                                      <w:marBottom w:val="75"/>
                                                      <w:divBdr>
                                                        <w:top w:val="none" w:sz="0" w:space="0" w:color="auto"/>
                                                        <w:left w:val="none" w:sz="0" w:space="0" w:color="auto"/>
                                                        <w:bottom w:val="none" w:sz="0" w:space="0" w:color="auto"/>
                                                        <w:right w:val="none" w:sz="0" w:space="0" w:color="auto"/>
                                                      </w:divBdr>
                                                    </w:div>
                                                    <w:div w:id="220212039">
                                                      <w:marLeft w:val="0"/>
                                                      <w:marRight w:val="0"/>
                                                      <w:marTop w:val="240"/>
                                                      <w:marBottom w:val="240"/>
                                                      <w:divBdr>
                                                        <w:top w:val="none" w:sz="0" w:space="0" w:color="auto"/>
                                                        <w:left w:val="none" w:sz="0" w:space="0" w:color="auto"/>
                                                        <w:bottom w:val="none" w:sz="0" w:space="0" w:color="auto"/>
                                                        <w:right w:val="none" w:sz="0" w:space="0" w:color="auto"/>
                                                      </w:divBdr>
                                                    </w:div>
                                                    <w:div w:id="1182089639">
                                                      <w:marLeft w:val="0"/>
                                                      <w:marRight w:val="0"/>
                                                      <w:marTop w:val="75"/>
                                                      <w:marBottom w:val="75"/>
                                                      <w:divBdr>
                                                        <w:top w:val="none" w:sz="0" w:space="0" w:color="auto"/>
                                                        <w:left w:val="none" w:sz="0" w:space="0" w:color="auto"/>
                                                        <w:bottom w:val="none" w:sz="0" w:space="0" w:color="auto"/>
                                                        <w:right w:val="none" w:sz="0" w:space="0" w:color="auto"/>
                                                      </w:divBdr>
                                                    </w:div>
                                                    <w:div w:id="840119191">
                                                      <w:marLeft w:val="0"/>
                                                      <w:marRight w:val="0"/>
                                                      <w:marTop w:val="75"/>
                                                      <w:marBottom w:val="75"/>
                                                      <w:divBdr>
                                                        <w:top w:val="none" w:sz="0" w:space="0" w:color="auto"/>
                                                        <w:left w:val="none" w:sz="0" w:space="0" w:color="auto"/>
                                                        <w:bottom w:val="none" w:sz="0" w:space="0" w:color="auto"/>
                                                        <w:right w:val="none" w:sz="0" w:space="0" w:color="auto"/>
                                                      </w:divBdr>
                                                    </w:div>
                                                    <w:div w:id="1161889089">
                                                      <w:marLeft w:val="0"/>
                                                      <w:marRight w:val="0"/>
                                                      <w:marTop w:val="75"/>
                                                      <w:marBottom w:val="75"/>
                                                      <w:divBdr>
                                                        <w:top w:val="none" w:sz="0" w:space="0" w:color="auto"/>
                                                        <w:left w:val="none" w:sz="0" w:space="0" w:color="auto"/>
                                                        <w:bottom w:val="none" w:sz="0" w:space="0" w:color="auto"/>
                                                        <w:right w:val="none" w:sz="0" w:space="0" w:color="auto"/>
                                                      </w:divBdr>
                                                    </w:div>
                                                    <w:div w:id="1670629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28997164">
                                          <w:marLeft w:val="0"/>
                                          <w:marRight w:val="0"/>
                                          <w:marTop w:val="0"/>
                                          <w:marBottom w:val="0"/>
                                          <w:divBdr>
                                            <w:top w:val="none" w:sz="0" w:space="0" w:color="auto"/>
                                            <w:left w:val="none" w:sz="0" w:space="0" w:color="auto"/>
                                            <w:bottom w:val="none" w:sz="0" w:space="0" w:color="auto"/>
                                            <w:right w:val="none" w:sz="0" w:space="0" w:color="auto"/>
                                          </w:divBdr>
                                          <w:divsChild>
                                            <w:div w:id="1971132069">
                                              <w:marLeft w:val="0"/>
                                              <w:marRight w:val="0"/>
                                              <w:marTop w:val="0"/>
                                              <w:marBottom w:val="0"/>
                                              <w:divBdr>
                                                <w:top w:val="none" w:sz="0" w:space="0" w:color="auto"/>
                                                <w:left w:val="none" w:sz="0" w:space="0" w:color="auto"/>
                                                <w:bottom w:val="none" w:sz="0" w:space="0" w:color="auto"/>
                                                <w:right w:val="none" w:sz="0" w:space="0" w:color="auto"/>
                                              </w:divBdr>
                                              <w:divsChild>
                                                <w:div w:id="11956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bouddhisme-universite.org/reconnaitre-les-mudra"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1978</Words>
  <Characters>10883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et Luc</dc:creator>
  <cp:lastModifiedBy>Thomas et Luc</cp:lastModifiedBy>
  <cp:revision>2</cp:revision>
  <dcterms:created xsi:type="dcterms:W3CDTF">2015-03-26T16:20:00Z</dcterms:created>
  <dcterms:modified xsi:type="dcterms:W3CDTF">2015-03-26T16:39:00Z</dcterms:modified>
</cp:coreProperties>
</file>